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0009</w:t>
      </w:r>
      <w:r>
        <w:t>)</w:t>
      </w:r>
    </w:p>
    <w:p w:rsidR="003B07E1" w:rsidRDefault="003B07E1" w:rsidP="003B07E1">
      <w:pPr>
        <w:pStyle w:val="DossierTitel"/>
      </w:pPr>
      <w:r>
        <w:t>Productiemedewerker voedingsindustrie</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Productiemedewerker voedingsindustrie</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wijkt af van de benaming in de gehanteerde Competent-fiches, desondanks is deze benaming zeer gebruikelijk en alom gekend in de sector zelf.</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Het uitvoeren van routinematige (productie)handelingen, opvolgen van de productie en bedienen van de machine, het uitvoeren van eenvoudige kwaliteitscontroles, steeds onder leiding van een verantwoordelijke en aan de hand van instructies teneinde de continuïteit van de productie te ondersteunen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2</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2013</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Neemt kennis van de productiefiches en -voorschriften (E130101 Id17516-c, E130401 Id24083-c, H240401 Id12827-c, H320201 Id32967-c, H330301 Id13096-c)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de werkzaamheden van de vorige ploeg over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de productieplanning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productieorder en technische fiche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de voorraad grondstoffen en materialen voor de eigen productie (tekorten, hoeveelheid, dosering, mengeling, kwaliteitsafwijkingen,…)  (E130101 Id16707-c/18152-c, E130401 Id21981-c, H210201 Id17701-c, H220201 Id18152-c, H220501 Id21894-c, H240401 Id12827-c/21960-c, H240501 Id23247-c, H320201 Id17846-c, H330101 Id21981-c, H330201 Id4645-c)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Onderneemt actie bij afwijkingen of tekorten van de te verwerken grondstoffen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toestellen voor goederentransport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hoeveelheid grondstoffen en materialen af op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informatie van beeldschermen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controle-instrumenten en interpreteert de controlegegevens volgens procedure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interne codering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hef- en tiltechnieken toe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de veiligheidsvoorzieningen van de machine(straat), -lijn  (E130101 Id1453-c, H210201 Id17729-c, H220201 Id17924-c, H240401 Id12827-c/21960-c, H240501 Id23247-c, H320101 Id2006-c, H330101 Id2017-c, H330301 Id17940-c)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veiligheidsvoorschriften en leeft ze na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informatie op, zowel ter plaatse als via beeldschermen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afwijkingen, storingen aan de machine(straat), -lijn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problemen en veiligheidsrisico’s aan de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de productie stil in noodgevallen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Start, bedient en stopt de machine(straat), -lijn volgens de instructies  (E130101 Id15850-c, E130401 Id24083-c/26123-c, H220201 Id15603-c, H240401 Id438-c, H240801 Id17203-c, H320201 Id1720-c, H330101 Id25644-c)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(technische) voorschriften en productiefiches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afwijkingen, storingen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Start de machine(straat), -lijn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grondstoffen en hulpproducten aan/in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de machine(straat), -lijn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informatie op, zowel ter plaatse als via beeldschermen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Interpreteert gegevens en reageert passend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geproduceerde goederen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controles/controlerondes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Stopt de machine(straat), -lijn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Bewaakt de continuïteit van zijn eigen productie (E130101 Id16707-c/26134-c, E130401 Id17106-c, H210201 Id333-c, H220201 Id12951-c, H220501 Id7832-c, H240401 Id438-c, H240601 Id17706-c, H240801 Id17736-c, H320101 Id17305-c/17745-c, H320201 Id17937-c, H330101 Id17305-c/4601-c)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voorschriften en productiefiches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controles/controlerondes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informatie op, zowel ter plaatse als via beeldschermen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afwijkingen, storingen op en neemt op passende wijze actie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problemen, afwijkingen aan de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Stopt de productie indien nodig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Registreert en rapporteert het verloop van de eigen productie (E130101 Id17306-c, E130401 Id18130-c, H210201 Id17306-c, H220201 Id17306-c, H240401 Id17306-c, H240501 Id18139-c, H320201 Id17306-c)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over het productieverloop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over het gebruik van grondstoffen en 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mondeling en/of schriftelijk aan collega’s en leidinggevenden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kwaliteitscontroles uit op de eigen productie volgens de instructies (E130101 Id17038-c/1880-c, E130401 Id17106-c, H210201 Id18088-c, H220201 Id483-c, H240401 Id381-c, H240501 Id1209-c, H240601 Id731-c, H240801 Id17736-c/17910-c/2214-c, H320101 Id17994-c, H320201 Id17846-c, H330301 Id472-c)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informatie van beeldschermen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instrumenten voor de productcontrole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productcontroles uit op basis van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afwijkingen aan producten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Verwijdert producten die niet voldoen aan de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problemen aan de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opvolgdocumenten in (tijdstip, waarden,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Stopt de productie indien nodig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Organiseert de eigen werkplek, veilig, ordelijk en milieubewust (E130101 Id18000-c/7014-c, E130401 Id16281-c, H210201 Id17813-c, H220201 Id18000-c, H240501 Id19183-c, H240601 Id17999-c, H330101 Id29375-c, H330201 Id16281-c)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werkplek schoon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Bergt de eigen gereedschappen en hulpmiddelen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voorgeschreven veiligheids- en milieuvoorschriften toe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(E130101 Id18000-c, H220201 Id18000-c, H240501 Id19183-c)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effectief en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leidinggevenden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Draagt de werkzaamheden over aan de volgende ploeg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aanwijzingen van verantwoordelijken op</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Controleert (het uitzicht van) een product</w:t>
      </w:r>
      <w:r>
        <w:rPr>
          <w:rFonts w:cstheme="minorHAnsi"/>
        </w:rPr>
        <w:t xml:space="preserve"> </w:t>
      </w:r>
      <w:r w:rsidRPr="00A4228D">
        <w:rPr>
          <w:rFonts w:cstheme="minorHAnsi"/>
        </w:rPr>
        <w:t>(H330101 Id17994-c)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Neemt stalen van de producten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routinematige visuele en dimensionele keuringen en analyses uit op grondstoffen, tussen- en eindproducten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Vergelijkt de resultaten met strikte kwaliteitscriteria</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Respecteert strikte hygiëne- en voedselveiligheidsvoorschriften </w:t>
      </w:r>
      <w:r>
        <w:rPr>
          <w:rFonts w:cstheme="minorHAnsi"/>
        </w:rPr>
        <w:t xml:space="preserve"> </w:t>
      </w:r>
      <w:r w:rsidRPr="00A4228D">
        <w:rPr>
          <w:rFonts w:cstheme="minorHAnsi"/>
        </w:rPr>
        <w:t>(co 00012)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de hygiënewetgeving toe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Respecteert de regelgeving betreffende de voedselveiligheid (autocontrole, traceerbaarheid,…)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Draagt specifieke kledij (haarnetje, stofjas, geen juwelen, geen piercings,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Reinigt en desinfecteert machines en materiaal volgens richtlijnen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Kan de machine instellen voor automatische reiniging (CIP - Cleaning in Place)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Meldt elke situatie waarvan vermoed kan worden dat deze een gevaar voor het milieu en de (voedsel)veiligheid kan betekenen en treedt op.</w:t>
      </w:r>
      <w:r w:rsidRPr="00127D6A">
        <w:rPr>
          <w:rFonts w:cstheme="minorHAnsi"/>
          <w:color w:val="FF0000"/>
        </w:rPr>
        <w:t/>
      </w:r>
    </w:p>
    <w:p w:rsidR="002C5C20" w:rsidRPr="002C5C20" w:rsidRDefault="002C5C20" w:rsidP="002C5C20">
      <w:pPr>
        <w:pStyle w:val="Voetnoot"/>
      </w:pPr>
      <w:r w:rsidRPr="00362EDF">
        <w:t/>
      </w:r>
    </w:p>
    <w:p w:rsidR="000C04C6" w:rsidRPr="00F0058F" w:rsidRDefault="000C04C6" w:rsidP="000C04C6">
      <w:pPr>
        <w:spacing w:after="0" w:line="240" w:lineRule="auto"/>
        <w:rPr>
          <w:lang w:eastAsia="nl-BE"/>
        </w:rPr>
      </w:pPr>
      <w:r w:rsidRPr="00127D6A">
        <w:rPr>
          <w:color w:val="FF0000"/>
          <w:lang w:eastAsia="nl-BE"/>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Generiek</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registratie- en informatiesystemen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regels m.b.t. welzijn op het 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materialen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grondstoffen in functie van de eigen productie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productieproces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kwaliteitsnormen en -systemen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productieprocedure en kwaliteitscontroles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gebruikte productieapparatuur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een machine(straat), -lijn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kwaliteitsprocedures,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veiligheidsmaatregelen en -voorschriften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van persoonlijke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m.b.t. afvalsortering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nood- en evacuatieprocedures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opstartprocedures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stopprocedures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om de automatische machine(straat), -lijn te bedienen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Specifiek</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kwaliteitszorgsystemen (HACCP, IFS, BRC, … )</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geproduceerde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hygiëneregelgeving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bewaringstechnieken (steeds in functie van de te verwerken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diverse meettechnieken voor viscositeit, zuurtegraad, massa, … (steeds in functie van de te verwerken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diverse reinigingstechnieken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HACCP: Hazard Analysis and Critical Control Points; IFS: International Food Standard; BRC: British Retail Consortium</w:t>
      </w:r>
      <w:r>
        <w:br/>
      </w:r>
      <w:r>
        <w:t/>
      </w:r>
      <w:r>
        <w:br/>
      </w:r>
      <w:r>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br/>
      </w:r>
      <w:r>
        <w:t>Generiek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overnemen van de werkzaamheden van de vorige ploeg en het overdragen van de werkzaamheden aan de volgende ploeg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mondeling en/of schriftelijk rapporteren aan leidinggevenden en efficiënt communiceren met collega’s en onderhoudstechnici</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de productieorder volgens de planning, de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verzorgen van de toevoer van grondstoffen en het afvoeren van geproduceerde goederen in overeenstemming met de productieorder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registreren van de eigen productiegegevens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starten, bedienen en stoppen van de machine(straat), -lijn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veiligheidscontroles/controlerondes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naleven van veiligheids- en milieuvoorschriften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schoonhouden van de werkplek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productcontroles op basis van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vergelijken van de resultaten van controles met richtwaarden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Specifiek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strikt naleven van hygiënevoorschriften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strikt naleven van regelgeving voor voedselveiligheid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strikt naleven van kwaliteitszorgsystemen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br/>
      </w:r>
      <w:r>
        <w:t>Generiek</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gepast reageren op kwaliteitsafwijkingen (aan de eigen grondstoffen, tussenproducten en eindproducten)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gepast reageren op technische storingen rekening houdend met de voorschriften/procedures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stoppen van de eigen productie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ondernemen van actie bij problemen met de grondstoftoevoer en bij de afvoer van geproduceerde goederen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verlenen van hulp aan onderhoudstechnici en verantwoordelijken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350A3E" w:rsidRPr="005D162A" w:rsidRDefault="00350A3E" w:rsidP="00350A3E">
      <w:pPr>
        <w:pStyle w:val="DescriptorTitel"/>
      </w:pPr>
      <w:r w:rsidRPr="00127D6A">
        <w:rPr>
          <w:color w:val="FF0000"/>
        </w:rPr>
        <w:t/>
      </w:r>
      <w:r w:rsidRPr="005D162A">
        <w:t>Specifiek</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accuraat reageren bij een vermoeden van problemen met de voedselveiligheid</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br/>
      </w:r>
      <w:r>
        <w:t>Generiek</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bedienen van de machine(straat), -lijn en het hanteren van meettoestellen ten einde te voldoen aan de kwaliteitsvoorschriften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bedienen van de machine(straat),  -lijn rekening houdend met de tijdsplanning eigen aan zijn productieproces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 gepaste wijze gebruiken van toestellen voor goederentransport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ergonomische hulpmiddelen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de juiste hef- en tiltechnieken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br/>
      </w:r>
      <w:r>
        <w:t>Generiek</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productiebedrijven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kan ook uitgeoefend worden in ploegen, tijdens het weekend, op feestdagen of ’s nachts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 varieert naargelang de grootte en de automatiseringsgraad van de onderneming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in een productieruimte, waarbij de eigenschappen van de grondstoffen en het productieproces bepalend kunnen zijn voor de omgevingscondities van de productieruimte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aan een machine(straat), -lijn, eventueel met beeldschermen en/of controlepanelen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vereist en kan verschillen naar gelang de producten die behandeld worden en de aard van de uitgevoerde handelingen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deze sector bestaan hygiëne-, milieu- en veiligheidsvoorschriften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in teamverband uitgeoefend</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350A3E" w:rsidRPr="00FD0A00" w:rsidRDefault="00350A3E" w:rsidP="00350A3E">
      <w:pPr>
        <w:pStyle w:val="DescriptorTitel"/>
        <w:ind w:left="284"/>
      </w:pPr>
      <w:r w:rsidRPr="00866860">
        <w:rPr>
          <w:color w:val="FF0000"/>
        </w:rPr>
        <w:t/>
      </w:r>
      <w:r w:rsidRPr="00FD0A00">
        <w:t>Specifiek</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activiteiten kunnen worden uitgeoefend in een omgeving met hoge of lage temperatuur, in een vochtige omgeving, in een opgeving met veel lawaai.</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hygiënische beschermingsmiddelen is vereist (haarnetje, schort,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permanent naleven van de voedselveiligheids- en hygiënevoorschriften is cruciaal.</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br/>
      </w:r>
      <w:r>
        <w:t>Generiek</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Werkt steeds onder toezicht/leiding van een verantwoordelijke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Werkt aan de hand van 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Communiceert efficiënt in het team en naar de verantwoordelijke toe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veiligheidsvoorschriften in omgang met grondstoffen en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economische en ecologische om met grondstoffen en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voorschriften en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veiligheidssignalisatie op de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Heeft permanente aandacht voor de kwaliteit van het 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Verzorgt het intern transport van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tijdsschema’s voor de realisatie van het productieproces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zich bewust van de mogelijke impact van zijn handelingen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350A3E" w:rsidRPr="00FD0A00" w:rsidRDefault="00350A3E" w:rsidP="00350A3E">
      <w:pPr>
        <w:pStyle w:val="DescriptorTitel"/>
        <w:ind w:left="284"/>
      </w:pPr>
      <w:r w:rsidRPr="00866860">
        <w:rPr>
          <w:color w:val="FF0000"/>
        </w:rPr>
        <w:t/>
      </w:r>
      <w:r w:rsidRPr="00FD0A00">
        <w:t>Specifiek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permanent rekening met regelgeving voor voedselveiligheid en hygiëne</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r>
        <w:br/>
      </w:r>
      <w:r>
        <w:t>Generiek</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 het zorgen voor toevoer van de grondstoffen, het opstarten en bedienen van de machine(straat), -lijn, het stoppen van de productie, het opvolgen van de eigen productie, de kwaliteitsopvolging en -controle</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instructies, productieplanning, veiligheids- en milieuvoorschriften/ procedures, productieorder/technische fiche, hygiëne regelgeving, eigenschappen van grondstoffen, richtwaarden en toleranties, kwaliteitsvoorschriften en rapporteringsprocedures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 voor planning, productieorder, meldingen van storingen en bijkomende instructies</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br/>
      </w:r>
      <w:r>
        <w:t>Generiek</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correct volgens de richtlijnen lopend eigen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Opgevolgde grondstoffentoevoer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Correcte hantering/bediening  van machines en gereedschappen volgens de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Zorgvuldig genoteerde en opgevolgde gegevens over zijn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veilige, hygiënische en opgeruimde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Gesorteerd afval volgens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goede communicatie m.b.t. de eigen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goede samenwerking met de medewerkers in het team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nauwkeurig/tijdig afgehandeld productieorder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Tijdig uitgevoerde controlerondes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Herkenning van productafwijkingen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Gepaste reactie bij storingen en afwijkingen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350A3E" w:rsidRPr="00FD0A00" w:rsidRDefault="00350A3E" w:rsidP="00350A3E">
      <w:pPr>
        <w:pStyle w:val="DescriptorTitel"/>
        <w:ind w:left="284"/>
      </w:pPr>
      <w:r w:rsidRPr="00866860">
        <w:rPr>
          <w:color w:val="FF0000"/>
        </w:rPr>
        <w:t/>
      </w:r>
      <w:r w:rsidRPr="00FD0A00">
        <w:t>Specifiek</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kwaliteitsvol product dat voldoet aan de wettelijke verplichtingen van voedselveiligheid</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Geen vereisten.</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Medisch attest om te werken in een omgeving waar voeding wordt geproduceerd</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