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0207</w:t>
      </w:r>
      <w:r>
        <w:t>)</w:t>
      </w:r>
    </w:p>
    <w:p w:rsidR="003B07E1" w:rsidRDefault="003B07E1" w:rsidP="003B07E1">
      <w:pPr>
        <w:pStyle w:val="DossierTitel"/>
      </w:pPr>
      <w:r>
        <w:t>Technieker industriële procesautomatisatie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Technieker industriële procesautomatisatie</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‘Realiseert en behoudt de werking van processor gestuurde procesinstallaties teneinde te voldoen aan de vooropgestelde specificaties en de continuïteit  van de installatie te verzekeren’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Algemeen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01668)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leidinggevende en andere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collega’s van ondersteunende diensten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de werkzaamheden over aan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 en betrokken diensten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01921)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en 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materialen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correct met hef- en hijswerktuigen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voert het af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gepaste maatregelen volgens de veiligheidsvoorschriften bij ongevallen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gevaarlijke stoffen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Beoordeelt risico’s met het oog op het nemen van de nodige voorzorgsmaatregelen (co 03029)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risicoanalyse uit van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Definieert de risicograad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nodige maatregelen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Verifieert ten opzichte van de risicograad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01922)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 controleert de machines en gereedschappen op zichtbare gebreken en degelijkheid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defecten of gebreken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handgereedschappen, draagbaar elektrisch gereedschap en  meetgereedschappen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voorbereidende werkzaamheden uit in het kader de integratie van nieuwe installatiedelen  (I130901 Id16772-c)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het voorstel van automatisering in ontvangst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vraag of de doelstelling van de automatisering in overleg met engineering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de werkvolgorde van de eigen werkzaamheden met de opdrachtgever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of alle werkzaamheden conform de technische plannen en afspraken uitgevoerd kunnen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mondelinge en schriftelijke informatie door bevraging of het raadplegen van technische bronnen (handleidingen, schema’s, logboeken…)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gereedschappen en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gegeven richtlijnen van engineering en de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nodige veiligheidsmaatregelen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de integratie van nieuwe procesonderdelen uit (co 03030)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risicobeoordeling uit voor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de werkzaamheden conform de procedures en voorschriften kan uitgevoerd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de opstart van de werkzaamheden met de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installatiedelen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installatiedelen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Configureert het automatiseringsdeel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Koppelt meet- en regelsensoren met het automatiseringssysteem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instellingen van de meet- en regelsensoren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juistheid van de koppeling en bekabeling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Start het geautomatiseerd systeem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Laadt de automatiseringsprogramma’s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Voegt de procesparameters in volgens vaste procedures of wijzigt deze in geval van een bestaand programma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Test volgens procedure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effectieve activering en werking van de componenten (pompen, kleppen, sensoren, …) in de 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in geval van nood de sturing manueel over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Wijzigt de procesparameters volgens vaste procedures op basis van de testresultaten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het bewerkt procesdeel technisch vrij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engineering tijdens en na voltooien van de integratie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Escaleert problemen tijdens de uitvoering aan de engineering  of volgens de procedures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voorbereidende werkzaamheden uit  rekening houdend met situationele elementen (in werking stellen, productiewijzigingen, ...) of de onderhoudshistoriek (co 03024)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vraag/ opdracht/probleem of storing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mondelinge en schriftelijke informatie door bevraging of het raadplegen van technische bronnen (handleidingen, schema’s, logboeken…)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omvang en de duur van de interventie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of alle werkzaamheden conform de technische plannen en afspraken uitgevoerd kunnen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een werkvolgorde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gereedschappen en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onderhoudsplan en de onderhoudsrichtlijnen en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machine of installatie in 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Beveiligt de machine tegen ongecontroleerd herinschakelen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volgens procedures aanpassingen uit op controllers bij installatie en/of onderhoud  (co 03045)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in geval van storing,  in-en uitgaande signalen van een Programmable Logic Controller (PLC)</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Reset een Programmable Logic Controller (PLC)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Wijzigt instellingen volgens vaste procedures in het kader van reguliere onderhoudsactiviteiten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aansluitingen op het geautomatiseerde sturingssysteem (PLC)</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back-ups van systeemparameters na het aanpassen van de instellingen (PLC)</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werking van het materiaal, de instrumentengegevens (druk, debiet, temperatuur, ...) en de kritieke slijtagepunten, ...  in het kader van onderhoudsinterventies en storingen  (I131001 Id1962-c)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zintuigen om afwijkingen in de werking en staat van de machine op te sporen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kalibratie- en meetinstrumenten en diagnoseapparatuur om storingen te detecteren (signalen opmeten,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werking van de geautomatiseerde installatie, instrumentengegevens en configuratieparameters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de vaststellingen van de afwijkingen aan de betrokkenen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Onderhoudt de instrumentatie van de machine of installatie preventief     (I130201 Id18132-c, I131001 Id7189-c)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handgereedschap en draagbaar elektrisch gereedschap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preventieve onderhoudsacties op instrumentatie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Realiseert netwerkverbindingen in functie van de automatisering (co 03031)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Connecteert apparaten onderling of in een netwerk, zowel vast als draadloos (LAN/WAN)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Test de verbindingen op fouten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Lokaliseert en diagnosticeert een defect of storing    (I130901 Id14732-c)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installatie visueel en auditief en beoordeelt de staat van 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software om defecten op te sporen en interpreteert foutcodes op displays van deelsystemen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kalibratie- en meetinstrumenten en diagnoseapparatuur om problemen op te sporen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signaalprotocols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foutmeldingen op sturingen en regelingen (PLC, DCS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mogelijke oorzaken van fouten één voor één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Lokaliseert de storing door het combineren van informatie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Vervangt de defecte onderdelen van de processturing en stelt ze af   (I130201 Id14456-c, I130901 Id5303-c)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handgereedschap en draagbaar elektrisch gereedschap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meetinstrumenten en kalibrators en meetstandaarden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Repareert de installatie door onderdelen van de sturing te vervangen volgens voorschrift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instrumentatie, sensoren en actuatoren aan en brengt markeringen of codes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bij en regelt machines, procesinstallaties, instrumenten bij op basis van procedures en/of specificaties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Test de werking  van de installatie in overleg met de betrokkenen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opvolgdocumenten van de werkzaamheden in en wisselt informatie uit met de betrokkenen     (I130201 Id17315-c, I130901 Id17315-c, I131001 Id17315-c)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onderhoudspecifieke beheersoftware (machine- en dienstgebonden)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verloop van 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de vaststellingen tijdens het onderhoud (de aard van de storing, afwijking, het tijdstip, de oplossing,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gebruik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alle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gebruikers met het oog op het correct gebruik van de machines en het voorkomen van storingen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betrokkenen met het oog op het correct gebruik van de machine en of installatie en het voorkomen van storingen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Raadpleegt vaktechnische informatie in een vreemde taal (co 00037)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handleidingen en lijsten van wisselstukken van de leverancier in het Engels of de taal van de fabrikant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voorbereidende tests uit voor het vrijgeven van de installatie  (I130901 Id16772-c)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werking van de sturing, instrumentatie, … na herstelling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kalibratie en diagnoseapparatuur en meetapparatuur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circuits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foutcodes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Vergelijkt gemeten waarden met richtwaarden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machine of installatie terug vrij volgens procedure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Assisteert bij het indienststellen van nieuwe installaties</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interne procedures inzake veiligheid, milieu en risicobeoordeling, machinerichtlijn, EMC-richtlijn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chemie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fysische parameters  (druk, temperatuur,…)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procestechnieken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de machines of procesinstallaties die gebruikt worden in het bedrijf</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gevaarlijke stoffen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hef- en hijswerktuigen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technisch Engels of de taal van de leverancier: raadplegen van technische documentatie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mechanica: machineonderdelen, constructieleer, materialenleer,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verbindingstechnieken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algemene en bedrijfsspecifieke opvolgsystemen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Atex-richtlijnen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bedrijfsprocedures inzake veiligheid en risicobeoordeling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bedrijfsspecifieke onderhoudsinstructies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configuratie- en optimalisatietechnieken van de (netwerk)verbindingen i.f.v. automatisering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basisconfiguratie van een netwerk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procedures voor vrijgave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productspecificaties van producten geproduceerd op machines of procesinstallaties die gebruikt worden in het bedrijf of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en inregeling van procesregelaars (P, PI, PID, adaptieve regelingen, fuzzy logic,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de machines of procesinstallaties die gebruikt worden in het bedrijf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diagnosetechnieken voor foutenanalyse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elektriciteit: installaties, machines en 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elektrische veiligheidsnormen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hersteltechnieken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hydraulica: schema’s lezen en begrijpen, componenten kennen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mechanica: machineonderdelen, constructieleer, materialenleer,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mechanische montage en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meetgereedschappen en meettechnieken voor het testen van elektronische en elektrische 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meettechniek in het kader van onderhoudswerkzaamheden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pneumatica en hydraulica in kader van foutenanalyse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pneumatica: schema’s lezen en begrijpen, componenten kennen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sensoren en detectoren (debiet, nabijheid, inductief, capacitief, opto-elektrisch, kracht, druk, temperatuur, vocht, positieschakelaar,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software voor programmeerbare logische stuureenheden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sturingen en regelsystemen voor (industriële)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systeem- en bedrijfsspecifieke onderhoudsinstructies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milieu- en kwaliteitsvoorschriften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verbindingstechnieken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visuele en auditieve kenmerken van slijtage en defecten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bedrijfsprocedures inzake veiligheid, milieu en kwaliteit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systeem- en bedrijfsspecifieke instructies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elektrisch, pneumatisch en hydraulisch schemalezen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hulpmiddelen (gereedschappen, componenten, onderhouds- en reinigingsproducten, …) voor integratie van installatiedelen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machine- en installatieonderdelen (elektrisch, elektronisch, pneumatisch, hydraulisch)</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ATEX staat voor de Franse benaming ATmosphères EXplosibles en wordt als synoniem gebruikt voor twee Europese richtlijnen, de  ATEX 137-richtlijn en ATEX 95-richtlijn,  op het gebied van explosiegevaar onder atmosferische omstandigheden.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leidinggevende en andere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collega’s van ondersteunende diensten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 en betrokken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 materialen en gereedschappen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risicoanalyse uit van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Definieert de risicograad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nodige maatregelen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Verifieert ten opzichte van de risicograad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het voorstel van automatisering in ontvangst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vraag of de doelstelling van de automatisering in overleg met engineering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werkvolgorde van de eigen werkzaamheden met de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na of alle werkzaamheden conform de technische plannen en afspraken uitgevoerd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mondelinge en schriftelijke informatie door bevraging of het raadplegen van technische bronnen (handleidingen, schema’s, logboeken…)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gegeven richtlijnen van engineering en 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nodige veiligheidsmaatregelen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risicobeoordeling uit voor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werkzaamheden conform de procedures en voorschriften kan uitgevoerd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de opstart van de werkzaamheden met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Configureert het automatiseringsdeel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instellingen van de meet- en regelsensoren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juistheid van de koppeling en bekabeling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het geautomatiseerd systeem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Laadt de automatiseringsprogramma’s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Voegt de procesparameters in volgens vaste procedures of wijzigt deze in geval van een bestaand 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volgens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effectieve activering en werking van de componenten (pompen, kleppen, sensoren, …) in de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Wijzigt de procesparameters volgens vaste procedures op basis van de testresultaten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het bewerkt procesdeel technisch vrij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engineering tijdens en na voltooien van de integratie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vraag/ opdracht/probleem of storing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mondelinge en schriftelijke informatie door bevraging of het raadplegen van technische bronnen (handleidingen, schema’s, logboeken…)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omvang en de duur van de interventie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na of alle werkzaamheden conform de technische plannen en afspraken uitgevoerd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een werkvolgorde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de onderhoudsrichtlijnen 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de machine tegen ongecontroleerd herinschakelen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in geval van storing,  in-en uitgaande signalen van een Programmable Logic Controller (PLC)</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Reset een Programmable Logic Controller (PLC)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Wijzigt instellingen volgens vaste procedures in het kader van reguliere onderhoudsactiviteiten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back-ups van systeemparameters na het aanpassen van de instellingen (PLC)</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zintuigen om afwijkingen in de werking en staat van de machine op te sporen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geautomatiseerde installatie, instrumentengegevens en configuratieparameters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preventieve onderhoudsacties op instrumentatie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Connecteert apparaten onderling of in een netwerk, zowel vast als draadloos (LAN/WAN)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verbindingen op fouten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installatie visueel en auditief en beoordeelt de staat van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om defecten op te sporen en interpreteert foutcodes op displays van deelsystemen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kalibratie- en meetinstrumenten en diagnoseapparatuur om problemen op te sporen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signaalprotocols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foutmeldingen op sturingen en regelingen (PLC, DCS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mogelijke oorzaken van fouten één voor één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Lokaliseert de storing door het combineren van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bij en regelt machines, procesinstallaties, instrumenten bij op basis van procedures en/of specificaties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werking  van de installatie in overleg met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onderhoudspecifieke beheersoftware (machine- en dienstgebonden)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verloop van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vaststellingen tijdens het onderhoud (de aard van de storing, afwijking, het tijdstip, de oplossing,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gebruik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Adviseert gebruikers met het oog op het correct gebruik van de machines en het voorkomen van storingen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betrokkenen met het oog op het correct gebruik van de machine en of installatie en het voorkomen van storingen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handleidingen en lijsten van wisselstukken van de leverancier in het Engels of de taal van de fabrikant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sturing, instrumentatie, … na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kalibratie en diagnoseapparatuur en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circuits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foutcodes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gemeten waarden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machine of installatie terug vrij volgens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indienststellen van nieuwe installaties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volgens de veiligheidsvoorschriften bij ongevallen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defecten of gebreken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in geval van nood de sturing manueel over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Escaleert problemen tijdens de uitvoering aan de engineering  of volgens de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de vaststellingen van de afwijkingen aan de betrokkenen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correct met hef- en hijswerktuigen volgens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en voert het af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 (PBM’s en CBM’s) volgens de specifieke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gevaarlijke stoffen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en controleert de machines en gereedschappen op zichtbare gebreken en degelijkheid na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machines en gereedschappen op een veilige en efficiënte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handgereedschappen, draagbaar elektrisch gereedschap en  meetgereedschappen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Verzamelt gereedschappen en 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installatiedelen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installatiedelen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Koppelt meet- en regelsensoren met het automatiseringssysteem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Verzamelt gereedschappen en 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de machine of installatie in veiligheid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aansluitingen op het geautomatiseerde sturingssysteem (PLC)</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kalibratie- en meetinstrumenten en diagnoseapparatuur om storingen te detecteren (signalen opmeten,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handgereedschap en draagbaar elektrisch 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handgereedschap en draagbaar elektrisch 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meetinstrumenten en kalibrators en meetstandaarden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Repareert de installatie door onderdelen van de sturing te vervangen volgens voorschrift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instrumentatie, sensoren en actuatoren aan en brengt markeringen of codes aan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technieker industriële procesautomatisatie kan zowel tewerkgesteld worden bij een constructeur als in de onderhoudswerking van een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Curatieve onderhoudstaken van de technieker industriële procesautomatisatie verlopen interactief en heuristisch.</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volgorde voor de uitvoering van de activiteiten ligt voor het preventieve onderhoud vaak vast in werkinstructies met een gestructureerd verloop. Deze zijn bepaald door voorschriften van machineconstructeurs of werden in het bedrijf zelf opgebouwd door  analyse en ervaring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Onderhoudsacties omvatten soms deelprocedures die heel sterk omschreven verlopen  zoals bijvoorbeeld het opvolgen van  veiligheidsinstructies, procedures voor in bedrijf name,…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technieker industriële procesautomatisatie kan mogelijks functioneren in wachtdiensten en oproepbaar zijn buiten de werkuren bij storingen in de installatie binnen het eigen bedrijf of bij de klant.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werkmethodes van technieker industriële procesautomatisatie worden bepaald door algemene praktijkregels voor het omgaan met elektrische en elektronische systemen, technische dienstverlening en industrieel onderhoud. Daarnaast worden deze ook bepaald door context specifieke elementen zoals de soort machines/installaties waarop de beroepsbeoefenaar ingrijpt, kenmerken van activiteiten, bedrijfs- of sectorspecifieke  gegevens, de productieplanning, reglementering,…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werkcontext evolueert voortdurend door innovatie in het productengamma, aanpassingen aan de -installaties, veranderingen in het proces, technische evoluties, veranderingen in de verhoudingen tussen bedrijfsinterne en uitbestede werkzaamheden.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Als technische dienstverlener wordt de beroepsbeoefenaar geconfronteerd met verschillende klanten en installatiecontexten waarbinnen technische dienstverlening moet gerealiseerd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bedrijven waar de nodige flexibiliteit belangrijk is om zich aan te passen aan wijzigingen van planning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 van de onderhoudswerking is afhankelijk van de grootte en/of de professionalisering van de werkomgeving en de verhouding tussen bedrijfsintern en uitbesteed onderhoud.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technieker industriële procesautomatisatie moet bij de uitoefening van zijn beroep rekening houden met contractuele afspraken voor het uitbesteed onderhoud.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technieker industriële procesautomatisatie moet bij correctieve acties kunnen omgaan met tijdsdruk en rekening houden met procedures en prioriteiten om de beschikbaarheid van de productie-installatie maximaal te 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Als dienstverlener moet de technieker industriële procesautomatisatie zich kunnen aanpassen aan de situatie bij en afspraken met de verschillende klanten.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technieker industriële procesautomatisatie gaat veelal om met installaties die in werking zijn. De technieker industriële procesautomatisatie moet zich in alle fases van zijn werk bewust zijn van de gevolgen van zijn acties. Ze kunnen grote gevolgen hebben voor de veiligheid, productiviteit en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technieker industriële procesautomatisatie moet samenwerken met anderen. Hij moet duidelijk en doelgericht kunnen communiceren.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 een product-georiënteerde werkomgeving grijpt de technieker industriële procesautomatisatie op een geplande of projectmatige manier in op de sturing van automatische 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technieker industriële procesautomatisatie kan in contact komen met gevaarlijke stoffen en situaties. De blootstelling hangt sterk af van bedrijf tot bedrijf en hangt samen met specifieke onderhoudsacties aan delen van een installatie. De blootstelling blijft in tijd meestal beperkt tot de duur van een specifieke onderhoudsactie of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verplicht om gebruik te maken van PBM’s en/of CBM’s om de impact van de omgevingsrisico’s te neutraliseren: chemische producten, stof, vochtigheid, temperatuurschommelingen, dampen, rook, geur, lawaai, trillingen, slechte verlichting, beperkte ruimte, beschermingsmiddelen,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activiteiten van de technieker industriële procesautomatisatie zijn over het algemeen gevarieerd en  niet eentonig.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opdracht volgens de gangbare regels van goed vakmanschap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van de relevante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van eigen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rapportage aan de hiërarchische meerdere en de interne of externe klant omtrent de werkwijze en kost van de opdracht of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aan schriftelijke en mondelinge communicatieprocedures,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werkinstructies bij het uitvoeren van interventies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voorschriften van machineconstructeurs of van de onderhoudswerking in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veiligheidsprocedures bij het uitvoeren van specifieke onderhoudsacties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milieuvoorschriften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beroep op de leidinggevende (procesingenieur, werkleider, werkvoorbereider/planner, onderhoudsingenieur…)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 voor occasioneel overleg omtrent de analyse van de opdracht of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 voor ingrijpende en/of tijdrovende interventies aan de machine of 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 voor keuzes van niet-originele vervangingsonderdelen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 bij het voorstellen van verbeteringen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Beoordeelt risico’s met het oog op het nemen van de nodige voorzorgsmaatregelen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voorbereidende werkzaamheden uit in het kader de integratie van nieuwe installatiedelen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integratie van nieuwe procesonderdelen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voorbereidende werkzaamheden uit  rekening houdend met situationele elementen (in werking stellen, productiewijzigingen, ...) of de onderhoudshistoriek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volgens procedures aanpassingen uit op controllers bij installatie en/of onderhoud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werking van het materiaal, de instrumentengegevens (druk, debiet, temperatuur, ...) en de kritieke slijtagepunten, ...  in het kader van onderhoudsinterventies en storingen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instrumentatie van de machine of installatie preventief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Realiseert netwerkverbindingen in functie van de automatisering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Lokaliseert en diagnosticeert een defect of storing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Vervangt de defecte onderdelen van de processturing en stelt ze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opvolgdocumenten van de werkzaamheden in en wisselt informatie uit met de betrokkenen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Raadpleegt vaktechnische informatie in een vreemde taal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voorbereidende tests uit voor het vrijgeven van de installatie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