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0359</w:t>
      </w:r>
      <w:r>
        <w:t>)</w:t>
      </w:r>
    </w:p>
    <w:p w:rsidR="003B07E1" w:rsidRDefault="003B07E1" w:rsidP="003B07E1">
      <w:pPr>
        <w:pStyle w:val="DossierTitel"/>
      </w:pPr>
      <w:r>
        <w:t>Sociaal-cultureel begeleider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Sociaal-cultureel begeleider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"K120601 Sociocultureel werk"</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sociaal-cultureel begeleider ontwikkelt en begeleidt sociaal-culturele activiteiten vertrekkende vanuit de specifieke inhouden, thema’s of vakgebieden van de organisatie waarbij hij verschillende bemiddelingsinstrumenten hanteert op maat van de doelgroep teneinde ontmoeting, betrokkenheid en processen van kritische bewustwording, reflectie en persoonlijke ontwikkeling te bewerkstelligen.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2018</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Handelt professioneel en volgens de deontologische principes (co 01981)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de professionele, ethische en deontologische principes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met oog voor het eigen referentiekader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een relatie op met respect voor de medische, sociale en culturele achtergrond van de doelgroep/het individu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bij tot empowerment* van de doelgroep/het individu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op een discrete en vertrouwelijke manier om met informatie conform het wettelijk kader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passende omgangsvormen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persoonlijke hygiëne en zorgt voor een verzorgd voorkomen</w:t>
      </w:r>
      <w:r w:rsidRPr="00127D6A">
        <w:rPr>
          <w:rFonts w:cstheme="minorHAnsi"/>
          <w:color w:val="FF0000"/>
        </w:rPr>
        <w:t/>
      </w:r>
    </w:p>
    <w:p w:rsidR="002C5C20" w:rsidRPr="002C5C20" w:rsidRDefault="002C5C20" w:rsidP="002C5C20">
      <w:pPr>
        <w:pStyle w:val="Voetnoot"/>
      </w:pPr>
      <w:r w:rsidRPr="00362EDF">
        <w:t/>
      </w:r>
      <w:r w:rsidRPr="006D6AE0">
        <w:br/>
        <w:t>* Het versterken van mensen en groepen zodat ze kunnen deelnemen aan de samenleving. Via empowerment krijgen individuen, organisaties en gemeenschappen greep op hun eigen situatie en hun omgeving. Ze verwerven controle en hun kritisch bewustzijn scherpt aan.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samen (co 02605)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samen in een team en in andere samenwerkingsverbanden om gemeenschappelijke doelstellingen te verwezenlijken in een klimaat van respect en vertrouwen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om samen tot beslissingen te 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naar en geeft feedback op het standpunt van de andere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flexibel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Bemiddelt om afspraken te maken en conflicten te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gebruik van onderhandelingstechnieken om eventuele conflicten op te lossen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zijn eigen professionele standpunt kenbaar tijdens overleg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Communiceert professioneel en empathisch (co 01983)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communicatie, taalgebruik, zijn stijl… aan de doelgroep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op empathische wijze om met de doelgroep waarbij de nodige afstand bewaard wordt om een professionele relatie te behouden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actief zonder een waardeoordeel te vellen, rekening houdend met de geschiedenis en eigenheid van de doelgroep/het individu</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volgens de kwaliteitsprincipes (co 02606)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interne kwaliteitsstandaarden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in interactie met de doelgroep om de kwaliteit te bewaken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gegevens over de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de knelpunten in verband met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de resultaten zowel mondeling als schriftelijk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de knelpunten zowel mondeling als schriftelijk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en organiseert de eigen activiteiten  (co 01984)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zijn interne en externe 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zelfstandig zijn taken uit, neemt hiervoor de verantwoordelijkheid en behoudt het overzicht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Bouwt eigen deskundigheid op (co 01645)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ontwikkelingen in het vakgebied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Blijft op de hoogte van de actualiteit in de relevante werkvelden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informatiebronnen (tijdschriften, internetsites...)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verruimt de eigen kennis, attitudes en vaardigheden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gebruik van feedback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Reflecteert systematisch over het eigen professioneel handelen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het eigen professioneel handelen bij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tips en ervaringen uit om te leren van de deskundigheid van anderen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teamvergaderingen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externe overlegmomenten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vormingsactiviteiten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opleidingen of bijscholing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een professioneel netwerk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Gaat correct om met diversiteit  (co 01987)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Eerbiedigt de persoonlijke levenssfeer van het individu/de doelgroep zonder discriminatie op grond van ideologische, godsdienstige en filosofische overtuiging of lidmaatschap of enig ander criterium op grond waarvan kan worden gediscrimineerd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eigen communicatiestijl aan ten aanzien van het individu/de doelgroep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projecten operationeel uit (co 02607)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acties uit volgens afspraken en visie van de organisatie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leidinggevende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 Detecteert de sociaal-culturele noden en behoeften van de doelgroep en werkt op basis hiervan een evenwichtig aanbod uit van sociaal-culturele activiteiten volgens de visie van de organisatie (K120601 Id17074-c)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situatie van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Detecteert de behoeften en problematieken van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Leeft zich in de situatie van de doelgroep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Specificeert de doelgroep(en)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Bekijkt de situatie vanuit verschillende invalshoeken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naar de vragen van de doelgroep of partners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actief naar onderwerpen waarmee en manieren waarop de doelgroep bereikt kan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Betrekt de actoren bij het inschatten van de situatie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doelstellingen, inhoud, vorm en volgorde van activiteiten samen met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Toetst de doelstellingen van activiteiten aan de visie van de organisatie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Toetst de uitgewerkte activiteiten af aan de visie van de organisatie en de analyse van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doelgericht leeromgevingen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op maat van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en onderhoudt contact met de doelgroep en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het aanbod van andere organisaties en werkt samen waar mogelijk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verschillende bronnen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eigen sociaal-agogische expertise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evoluties in de samenleving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en hanteert sociaal-culturele werkvormen aangepast aan de doelgroep, het thema en de situatie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Start sociaal-culturele activiteiten op, volgt op en zorgt voor alle praktische benodigdheden (K120601 Id15422-c)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het programma uit (dagactiviteiten, workshops, ateliers, tentoonstellingen) en stelt een plan van aanpak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beschikbare tijd en 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Betrekt alle betrokken actoren (collega’s, vrijwilligers, deelnemers…)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werkafspraken met alle betrokken 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het voorgestelde draaiboek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vooruitgang van de activiteit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knelpunten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alle betrokken actoren bij wijzigingen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Reserveert accommodaties, materiaal en middelen en stuurt bij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ruimte in in afstemming met de leefwereld van de doelgroep en de doelstellingen van de activiteit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aanwijzingen aan de betrokken 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Is aanspreekpunt voor eventuele vragen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Begeleidt sociaal-culturele activiteiten met de doelgroep (K120601 Id46833-c)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Leidt sociaal-culturele 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Stimuleert en steunt de doelgroep bij het verkennen, (h)erkennen en aanpakken van noden, talenten en verwachtingen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Speelt in op de actualiteit en de noden van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Stimuleert de doelgroep tot interactie en betrokkenheid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Creëert of versterkt leerkansen bij personen, groepen, systemen of samenlevingen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Verhoogt de deelname aan en het deelhebben en het deel zijn van cultuur (in enge en brede zin)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Verhoogt de graad van betrokkenheid van burgers op hun samenleving volgens het vooropgestelde veranderingsdoel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gepaste didactische 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Verfijnt samen met de doelgroep de doelstellingen en de aanpak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Waarborgt de veiligheid van de deelnemers en medewerkers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Sluit de sociaal-culturele activiteit af en evalueert ze (K120601 Id24502-c)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de doelgroep over andere beschikbare activiteiten van de organisatie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feedback over de activiteiten aan de doelgroep (evaluatieformulier…)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al het materiaal en ziet er op toe dat de doelgroep het materiaal in de oorspronkelijke staat achterlaten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het programma tijdig, ordelijk en op zinvolle wijze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mee het vertrek van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met verschillende betrokken actoren na of de doelstellingen behaald werden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mondeling en schriftelijk over knelpunten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oplossingen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Motiveert gemaakte keuzes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het communicatiebeleid  (K120601 Id24661-c)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helder over inhouden en doelen van het educatieve programma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communicatie- en interactievormen af op de kenmerken en behoeften van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beroep op externe expertise van de communicatieverantwoordelijke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Promoot de activiteiten, processen, projecten bij de doelgroep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praktische aangelegenheden uit aangaande het communicatiebeleid: drukwerk, website, sociale media…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Helpt bij het ontwikkelen en uitvoeren van het communicatiebeleid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Levert input voor een strategisch communicatieplan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Representeert de organisatie extern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relaties op met andere organisaties, overheden, media… en onderhoudt deze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Prospecteert en contacteert mogelijke partners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vrijwilligers (K120601 Id46843)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actief op zoek naar vrijwilligers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motiveert en versterkt vrijwilligers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Participeert aan de opmaak en uitvoering van het vrijwilligersbeleid</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psychosociale wetenschappen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vergadertechnieken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onderzoeksmethodes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organisatiebeheer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vrijwilligerswetgeving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relevante 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sociale kaart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beroepsethiek en deontologisch handelen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eigen referentiekader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rapportering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doelgroepgerichte sociale vaardigheden (vb. actief luisteren, conflicthantering, samenwerkingsvormen, onderhandelingstechnieken, bemiddelingstechnieken…)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diversiteit: sociale (economische status, opleidingsniveau…), etnische, religieuze of filosofische achtergrond, seksuele geaardheid, gender…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socio-culturele landschap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professionele fora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methodische modellen (vb. leerstijlen...)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empowerment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functies en de rollen van het sociaal-cultureel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projectmanagement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beschikbare en relevante opleidingsaanbod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pedagogische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vrijwilligerswerking en vrijwilligersmanagement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methodes voor probleemoplossing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planning en organisatie van het takenpakket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maatschappelijke tendensen en knelpunten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Nederlandse taal om op deskundige wijze te kunnen hanteren in het kader van het beroep en dit zowel mondeling als schriftelijk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kantoor- en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promotietechnieken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sociale media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evaluatietechnieken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relevante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reflectiestrategieën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kwaliteitszorg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organisatie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diverse socioculturele en groepsdynamische werkvormen (vb. uitwisselingstechnieken, leerprocessen opzetten, vormingstechnieken...)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identificatie van de doelgroepen: een deel van de bevolking of een groep van mensen die sociale of persoonskenmerken gemeenschappelijk hebben waarop een bepaald aanbod of een bepaalde strategie gericht wordt met het oog op de realisering van de missie en de visie van de organisatie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professionele, ethische en deontologische principes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met oog voor het eigen referentiekader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Bouwt een relatie op met respect voor de medische, sociale en culturele achtergrond van de doelgroep/het individu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empowerment* van de doelgroep/het individu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een discrete en vertrouwelijke manier om met informatie conform het wettelijk kader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passende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persoonlijke hygiëne en zorgt voor een verzorgd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samen in een team en in andere samenwerkingsverbanden om gemeenschappelijke doelstellingen te verwezenlijken in een klimaat van respect en vertrouwen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om samen tot beslissingen te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en geeft feedback op het standpunt van de andere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flexibel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zijn eigen professionele standpunt kenbaar tijdens overleg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communicatie, taalgebruik, zijn stijl… aan de doelgroep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empathische wijze om met de doelgroep waarbij de nodige afstand bewaard wordt om een professionele relatie te behouden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actief zonder een waardeoordeel te vellen, rekening houdend met de geschiedenis en eigenheid van de doelgroep/het individu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interne kwaliteitsstandaarden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Treedt in interactie met de doelgroep om de kwaliteit te bewaken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gegevens over de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resultaten zowel mondeling als schriftelijk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zijn interne en externe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zelfstandig zijn taken uit, neemt hiervoor de verantwoordelijkheid en behoudt het overzicht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ontwikkelingen in het vakgebied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Blijft op de hoogte van de actualiteit in de relevante werkvelden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informatiebronnen (tijdschriften, internetsites...)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en verruimt de eigen kennis, attitudes en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gebruik van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systematisch over het eigen professioneel handelen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tips en ervaringen uit om te leren van de deskundigheid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teamvergaderingen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externe overlegmomenten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vormingsactiviteiten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opleidingen of bijscholing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Bouwt een professioneel netwerk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Eerbiedigt de persoonlijke levenssfeer van het individu/de doelgroep zonder discriminatie op grond van ideologische, godsdienstige en filosofische overtuiging of lidmaatschap of enig ander criterium op grond waarvan kan worden gediscrimineerd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eigen communicatiestijl aan ten aanzien van het individu/de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acties uit volgens afspraken en visie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situatie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Detecteert de behoeften en problematieken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zich in de situatie van de doelgroep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Specificeert de doelgroep(en)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Bekijkt de situatie vanuit verschillende invalshoeken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de vragen van de doelgroep of partners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actief naar onderwerpen waarmee en manieren waarop de doelgroep bereikt kan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Betrekt de actoren bij het inschatten van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doelstellingen, inhoud, vorm en volgorde van activiteiten samen met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de doelstellingen van activiteiten aan de visie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de uitgewerkte activiteiten af aan de visie van de organisatie en de analyse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doelgericht leeromgevingen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op maat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en onderhoudt contact met de doelgroep en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het aanbod van andere organisaties en werkt samen waar mogelijk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verschillende 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eigen sociaal-agogische expertise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evoluties in de samenleving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en hanteert sociaal-culturele werkvormen aangepast aan de doelgroep, het thema en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het programma uit (dagactiviteiten, workshops, ateliers, tentoonstellingen) en stelt een plan van aanpak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beschikbare tijd en 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Betrekt alle betrokken actoren (collega’s, vrijwilligers, deelnemers…)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werkafspraken met alle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het voorgestelde draaiboek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vooruitgang van de activiteit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alle betrokken actoren bij wijzigingen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Reserveert accommodaties, materiaal en middelen en stuurt bij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ruimte in in afstemming met de leefwereld van de doelgroep en de doelstellingen van de activiteit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de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aanspreekpunt voor eventuele 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Leidt sociaal-culturele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Stimuleert en steunt de doelgroep bij het verkennen, (h)erkennen en aanpakken van noden, talenten en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Speelt in op de actualiteit en de noden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Stimuleert de doelgroep tot interactie en betrokkenheid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Creëert of versterkt leerkansen bij personen, groepen, systemen of samenlevingen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Verhoogt de deelname aan en het deelhebben en het deel zijn van cultuur (in enge en brede zin)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Verhoogt de graad van betrokkenheid van burgers op hun samenleving volgens het vooropgestelde veranderingsdoel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gepaste didactische hulpmiddelen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Verfijnt samen met de doelgroep de doelstellingen en de aanpak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Waarborgt de veiligheid van de deelnemers 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doelgroep over andere beschikbare activiteiten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feedback over de activiteiten aan de doelgroep (evaluatieformulier…)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al het materiaal en ziet er op toe dat de doelgroep het materiaal in de oorspronkelijke staat achterlaten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het programma tijdig, ordelijk en op zinvolle wijze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mee het vertrek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met verschillende betrokken actoren na of de doelstellingen behaald werden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Motiveert gemaakte keuzes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helder over inhouden en doelen van het educatieve 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communicatie- en interactievormen af op de kenmerken en behoeften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beroep op externe expertise van de communicatieverantwoordelijke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Promoot de activiteiten, processen, projecten bij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praktische aangelegenheden uit aangaande het communicatiebeleid: drukwerk, website, sociale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bij het ontwikkelen en uitvoeren van het communicatiebeleid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input voor een strategisch communicatieplan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Representeert de organisatie extern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Bouwt relaties op met andere organisaties, overheden, media… en onderhoudt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Prospecteert en contacteert mogelijke partners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actief op zoek naar vrijwilligers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motiveert en versterkt vrijwilligers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Participeert aan de opmaak en uitvoering van het vrijwilligersbeleid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Bemiddelt om afspraken te maken en conflicten te voorkomen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Maakt gebruik van onderhandelingstechnieken om eventuele conflicten op te lossen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 knelpunten in verband met kwaliteit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de knelpunten zowel mondeling als schriftelijk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het eigen professioneel handelen bij waar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knelpunten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mondeling en schriftelijk over knelpunten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Draagt oplossingen aan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de sociaal-cultureel begeleider wordt vaak op verschillende locaties uitgevoerd. Dit is nodig bij o.a. de voorbereiding en uitvoering van de projecten en het leggen van contacten met andere organisaties.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wisselende aspect voor de sociaal-cultureel begeleider is voornamelijk gesitueerd in de variatie aan doelgroepen waarmee ze in contact komen, de veelheid aan activiteiten die ze opzetten en afhankelijk van de veranderingen in de maatschappij</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opzetten en uitvoeren van projecten vergt organisatievermogen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omgang met de doelgroepen vergt een grote mate van flexibiliteit en inlevingsvermogen. De beroepsbeoefenaar dient heel contactvaardig te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soms uitgeoefend op onregelmatige werktijden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sociaal-cultureel begeleider dient te kunnen werken in teamverband, multidisciplinair en/of op individuele basis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vereist het nemen van initiatief binnen de resultaten vastgelegd door de leidinggevende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beroepsuitoefening moet men zich bewust zijn van de effecten van eigen verbale, non-verbale en digitale communicatie en de invloed ervan op de doelgroep</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dit beroep wordt er door alle sociaal-cultureel begeleiders meegebouwd aan een cultuur van collegialiteit, welzijn, respect binnen de professionele relaties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dit beroep moet de sociaal-cultureel begeleider zorg dragen voor de eigen draagkracht en het eigen welbevinden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toont zin voor initiatief binnen het project, proces... dat hij operationeel dient uit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moet kwaliteitsvol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moet doelgroepgericht werken (stijl en taalgebruik aanpassen, op empathische wijze omgaan met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moet het positief imago van zijn organisatie uitstralen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is een bruggenbouwer tussen de doelgroep en de maatschappij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moet constructief en vlot kunnen omgaan met de doelgroep, de situatie van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moet diplomatisch kunnen omgaan met klachten van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moet soepel kunnen inspelen op specifieke verwachtingen of vragen van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wisselt op constructieve en transparante wijze informatie uit met de andere 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respecteert het deontologisch kader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werkt constructief samen met de doelgroep, collega’s en andere 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is zich bewust van de impact van zijn handelingen op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kan zich aanpassen aan en flexibel opstellen bij wisselende werkomstandigheden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moet bijblijven met de ontwikkelingen binnen de sector, dit vergt levenslang leren en het volgen van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dient planmatig te kunnen werken, prioriteiten te stellen en zijn werkzaamheden te organiseren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gaat discreet om met info over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sociaal-cultureel begeleider heeft aandacht voor een hygiënisch voorkomen en een verzorgd taalgebruik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betrokkenheid en leerkansen creëren bij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activiteiten in functie van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operationeel plannen, organiseren en uitvoeren van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begeleiden van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promoten van activiteiten en de eigen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administratie gerelateerd aan de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signaleren van knelpunten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evaluatie van de activiteit en het aangeven van oplossingen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behandelen van klachten aangegeven door de doelgroep of andere actoren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missie en de visie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verwachtingen van de deelnemers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deontologische principes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instructies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beschikbare budget</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partnerorganisaties bij een samenwerking met andere organisaties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externe expertise indien aangewezen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professioneel en volgens de deontologische principes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professioneel en empathisch</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kwaliteitsprincipes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organiseert de eigen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correct om met diversiteit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projecten operationeel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Detecteert de sociaal-culturele noden en behoeften van de doelgroep en werkt op basis hiervan een evenwichtig aanbod uit van sociaal-culturele activiteiten volgens de visie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Start sociaal-culturele activiteiten op, volgt op en zorgt voor alle praktische benodigdheden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Begeleidt sociaal-culturele activiteiten met de doelgroep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Sluit de sociaal-culturele activiteit af en evalueert ze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het communicatiebeleid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vrijwilligers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