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0413</w:t>
      </w:r>
      <w:r>
        <w:t>)</w:t>
      </w:r>
    </w:p>
    <w:p w:rsidR="003B07E1" w:rsidRDefault="003B07E1" w:rsidP="003B07E1">
      <w:pPr>
        <w:pStyle w:val="DossierTitel"/>
      </w:pPr>
      <w:r>
        <w:t>Amateur creërend muzikant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Amateur creërend muzikant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Een amateur creërend muzikant componeert, arrangeert vocale en/of instrumentale muziekstukken, al dan niet met behulp van software en hardware en (her)schrijft eventueel teksten teneinde een nieuw muziekstuk tot stand te brengen dat door hemzelf of door andere muzikanten wordt uitgevoerd en/of opgenomen in de vrije tijd.</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Transversaal algemeen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samen (co 02626)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met alle betrokken 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en uitvoering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een eigen artistieke inbreng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inbreng van anderen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aanwijzingen aan medemuzikanten en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zich flexibel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mee aan het groepsbelang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Enthousiasmeert anderen.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Functioneert binnen een groep (co 02627)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Beleeft de kunstuitvoering samen met anderen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bij en vervolmaakt zich door samen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om met conflicten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bij tot de groepsdynamiek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conform de eigen artistieke visie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het eigen welzijn en het welzijn van anderen (co 02619)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ergonomisch verantwoord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zich tegen gehoorschade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veilig om met materiaal en instrumenten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risico’s</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Transversaal creëren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een eigen artistieke praktijk (co 02628)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oog voor maatschappelijke en artistieke tendensen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oog voor artistieke en culturele praktijken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oog voor technieken en technologische trends in relatie tot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Onderzoekt in functie van de eigen artistieke praktijk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Reflecteert over de eigen praktijk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Ontwikkelt een eigen artistieke taal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oog voor de eigen artistieke ontwikkeling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Ontwikkelt de eigen deskundigheid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artistieke concepten en ideeën (co 02629)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Integreert opgedane inzichten in het creatieve 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basismateriaal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basismateriaal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aan een persoonlijke visie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aan een collectieve visie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scheppend, associatief en (re)productief om met intuïties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Interageert met andere artistieke disciplines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Transformeert waarnemingen en indrukken in artistieke ideeën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Zet artistieke concepten en ideeën om in een uitvoerbaar geheel (co 02630)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vorm aan verbeelding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instrumenten, materiaal, hardware, software, technieken en methodes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instrumenten, materiaal, hardware, software, technieken en methodes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artistieke aanwijzingen aan medemuzikanten en technici en waakt over de uitvoering ervan en/of handelt conform de eigen artistieke visie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het persoonlijk aandeel in het artistieke geheel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mee de artistieke visie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in gesprek met anderen over de artistieke visie</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Specifeke activiteiten</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Bestudeert en/of creëert het basisdocument van een uitvoering </w:t>
      </w:r>
      <w:r>
        <w:rPr>
          <w:rFonts w:cstheme="minorHAnsi"/>
        </w:rPr>
        <w:t xml:space="preserve"> </w:t>
      </w:r>
      <w:r w:rsidRPr="00A4228D">
        <w:rPr>
          <w:rFonts w:cstheme="minorHAnsi"/>
        </w:rPr>
        <w:t>(L120201 Id18611-c)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Vergaart informatie en maakt hier gebruik van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het basismateriaal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Ontwikkelt artistieke ideeën in verband met de eigen inbreng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Vertolkt artistieke ideeën in functie van de eigen inbreng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met artistiek of creatief verantwoordelijken de eigen inbreng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zich vertrouwd met de vereisten van het eigen aandeel in de voorstelling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Componeert in de vrije tijd nieuw werk of arrangeert bestaand werk, alleen of met anderen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bij het arrangeren of componeren rekening met de technische vaardigheden van de uitvoerende muzikanten en/of de eigen vaardigheden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Heeft oog voor de impliciete en expliciete kenmerken van het te arrangeren muziekstuk (opbouw, spanningsbogen, muzikaal-technische bijzonderheden, bedoeling van de componist, achtergrond, muziekhistorische context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Schrijft en herschrijft eventueel teksten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kenmerken van een muziekstuk vast aan de hand van partituren of teksten (opbouw, arrangementen, technische moeilijkheden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gebruik van hardware en 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Hanteert een eigen muziekschrift of beheerst een muzieknotatiesysteem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Respecteert eigendomsrechten en regelt toestemming voor gebruik</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Bepaalt de voorwaarden voor de uitvoering.</w:t>
      </w:r>
      <w:r>
        <w:rPr>
          <w:rFonts w:cstheme="minorHAnsi"/>
        </w:rPr>
        <w:t xml:space="preserve"> </w:t>
      </w:r>
      <w:r w:rsidRPr="00A4228D">
        <w:rPr>
          <w:rFonts w:cstheme="minorHAnsi"/>
        </w:rPr>
        <w:t>(L120201 Id3642-c)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voorwaarden voor de uitvoering met betrokkenen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programma samen in functie van de bezetting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Ontwikkelt alleen of met anderen ideeën voor optredens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Test alleen of met anderen ideeën voor optredens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bezetting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de mogelijkheden en de beperkingen (materiaal, infrastructuur, tijd, budgetten, muzikanten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richtlijnen voor de organisatie van het podium</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het eigen lichaam, dat van medemuzikanten en het eigen instrument en dat van medemuzikanten voor op de nodige vaardigheden </w:t>
      </w:r>
      <w:r>
        <w:rPr>
          <w:rFonts w:cstheme="minorHAnsi"/>
        </w:rPr>
        <w:t xml:space="preserve"> </w:t>
      </w:r>
      <w:r w:rsidRPr="00A4228D">
        <w:rPr>
          <w:rFonts w:cstheme="minorHAnsi"/>
        </w:rPr>
        <w:t>(L120201 Id16530-c)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het lichaam voor op de repetities, de voorstellingen, de opnames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zich voor op de fysische vereisten van het eigen aandeel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instrumenttechnische vaardigheden en/of zangvaardigheden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Beheerst instrumenttechnische vaardigheden en/of zangvaardigheden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uitdrukkingsmogelijkheden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Beheerst uitdrukkingsmogelijkheden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aan op het gebruik van bepaalde uitdrukkingsmogelijkheden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Manifesteert een persoonlijke aanpak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het muziekinstrument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stemapparatuur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Bespeelt het instrument en luistert naar de toonhoogte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toonhoogte van de muziekinstrumenten op elkaar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de nodige aanpassingen in functie van het eigen instrument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naar de kwaliteit van de klank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instrumenttechnische vaardigheden en/of zangvaardigheden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techniek vast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de techniek in verschillende situaties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stemoefeningen en/of instrumentale oefeningen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veilig en duurzaam om met lichaam en instrument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Repeteert het eigen aandeel</w:t>
      </w:r>
      <w:r>
        <w:rPr>
          <w:rFonts w:cstheme="minorHAnsi"/>
        </w:rPr>
        <w:t xml:space="preserve"> </w:t>
      </w:r>
      <w:r w:rsidRPr="00A4228D">
        <w:rPr>
          <w:rFonts w:cstheme="minorHAnsi"/>
        </w:rPr>
        <w:t>(L120201 Id17388-c)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Studeert muziekstukken en/of teksten in (al dan niet uit het hoofd)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Oefent de samenzang en/of het samenspel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Vertolkt artistieke beslissingen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Onderbouwt de eigen artistieke visie en aanpak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vorm aan eigen en andermans interpretatie, visie en verbeelding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over de eigen visie op heldere en doordachte wijze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en onderzoekt instrumenttechnische- en uitdrukkingsmogelijkheden en/of zangtechnische- en uitdrukkingsmogelijkheden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zich open en laat zich inspireren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persoonlijke kwaliteiten en vaardigheden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en maakt afspraken met artistiek of creatief verantwoordelijke(n) en betrokken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volledig op in het samenspel en teamwork zonder de eigenheid te verliezen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composities of arrangementen aan om het artistieke concept op punt te stellen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afspraken met anderen (muzikanten, podiumtechnici, andere kunstenaars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Respecteert de verschillende rollen, verantwoordelijkheden en belangen in het creatieproces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Vertolkt alleen of met medemuzikanten/zangers zijn aandeel in de uitvoering voor het publiek en/of opname</w:t>
      </w:r>
      <w:r>
        <w:rPr>
          <w:rFonts w:cstheme="minorHAnsi"/>
        </w:rPr>
        <w:t xml:space="preserve"> </w:t>
      </w:r>
      <w:r w:rsidRPr="00A4228D">
        <w:rPr>
          <w:rFonts w:cstheme="minorHAnsi"/>
        </w:rPr>
        <w:t>(co 02631)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Voelt het ritme, de timing en de dynamiek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het zingen en/of muziek spelen af op de uitvoering van anderen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Observeert de muzikanten en geeft aanwijzingen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Improviseert wanneer de situatie daarom vraagt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Is bewust van de eigen inbreng in het geheel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Kan zich volledig geven in het samenspel of teamwork zonder de eigenheid te verliezen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Presenteert werk aan een publiek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Speelt flexibel in op ruimte en omstandigheden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het programma aan wijzigende omstandigheden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Speelt in op de reacties van het publiek en de andere muzikanten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bij op aangeven van de creatief verantwoordelijken en betrokken medewerkers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Reflecteert over en verbetert de eigen prestatie en/of de groepsprestatie en communiceert hierover</w:t>
      </w:r>
      <w:r>
        <w:rPr>
          <w:rFonts w:cstheme="minorHAnsi"/>
        </w:rPr>
        <w:t xml:space="preserve"> </w:t>
      </w:r>
      <w:r w:rsidRPr="00A4228D">
        <w:rPr>
          <w:rFonts w:cstheme="minorHAnsi"/>
        </w:rPr>
        <w:t>(co 02632)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Reflecteert over eigen en andermans werk en praktijk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Reflecteert en communiceert over de eigen prestatie en/of de groepsprestatie met de betrokken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bij op aangeven van de andere betrokkenen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zichzelf bij ten voordele van een gemeenschappelijk resultaat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Toetst af of de artistieke uitdrukkingsvorm het gewenste effect heeft bereikt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afspraken met collega’s en betrokken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Accepteert feedback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zich flexibel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Registreert de eigen uitvoering</w:t>
      </w:r>
      <w:r>
        <w:rPr>
          <w:rFonts w:cstheme="minorHAnsi"/>
        </w:rPr>
        <w:t xml:space="preserve"> </w:t>
      </w:r>
      <w:r w:rsidRPr="00A4228D">
        <w:rPr>
          <w:rFonts w:cstheme="minorHAnsi"/>
        </w:rPr>
        <w:t>(co 02633)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consumer hard- en 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muziek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Mixt de opnames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Begeleidt de promotie en verspreiding naar de media en het publiek</w:t>
      </w:r>
      <w:r>
        <w:rPr>
          <w:rFonts w:cstheme="minorHAnsi"/>
        </w:rPr>
        <w:t xml:space="preserve"> </w:t>
      </w:r>
      <w:r w:rsidRPr="00A4228D">
        <w:rPr>
          <w:rFonts w:cstheme="minorHAnsi"/>
        </w:rPr>
        <w:t>(L120201 Id18491-c)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Levert inhoudelijk materiaal aan voor de communicatie over de uitvoering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informatie over de uitvoering en zijn aandeel erin (uitvoering, inhoud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sociale/digitale media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selectie van opnames in functie van kanaal en doel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langs welke kanalen (online, op fysieke dragers …) de opnames verspreid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bewust voor een bepaalde vormgeving</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grote muzikale en maatschappelijke tendensen.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artistieke terminologie.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akoestiek.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geluidsinstallaties.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types audiodragers.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muziektheorie.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mixing en mastering.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stemopwarmingstechnieken.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uitspraaktechnieken.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gehoortraining.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gehoorbescherming.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memorisatietechnieken.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muziekgeschiedenis.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muziekstijlen.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muzieknotatie.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muzieknotatiesystemen.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intellectueel eigendomsrecht.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budgetbeheer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andere artistieke disciplines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veiligheidsregels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vormgeving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muzikale contexten (de podiumsector, festivals, evenementen, wedstrijden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creatieprocessen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relevante informatiebronnen eigen aan de sector(tijdschriften, websites, steunpunten, conferenties, opleidingen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ritmiek.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instrumentale en/of vocale uitdrukkingsmogelijkheden.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instrumentale en/of vocale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ademhalingstechnieken.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interpretatietechnieken.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instrument en/of hard- en software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met alle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een eigen artistieke inbreng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inbreng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medemuzikanten en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mee aan het groepsbelang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Enthousiasmeert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Beleeft de kunstuitvoering samen met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bij en vervolmaakt zich door samen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om met conflicten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de groepsdynamiek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conform de eigen artistieke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maatschappelijke en artistieke tendensen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artistieke en culturele praktijken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technieken en technologische trends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Onderzoekt in functie van de eigen artistieke praktijk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over de eigen praktijk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een eigen artistieke 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de eigen artistieke ontwikkeling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opgedane inzichten in het creatieve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aan een persoonlijke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aan een collectieve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Interageert met andere artistieke disciplines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Transformeert waarnemingen en indrukken in artistieke ideeën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instrumenten, materiaal, hardware, software, technieken en methodes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instrumenten, materiaal, hardware, software, technieken en methodes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artistieke aanwijzingen aan medemuzikanten en technici en waakt over de uitvoering ervan en/of handelt conform de eigen artistieke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het persoonlijk aandeel in het artistieke geheel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mee de artistieke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in gesprek met anderen over de artistieke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Vergaart informatie en maakt hier gebruik 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het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artistieke ideeën in verband met de eigen inbreng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met artistiek of creatief verantwoordelijken de eigen inbreng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Componeert in de vrije tijd nieuw werk of arrangeert bestaand werk, alleen of met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bij het arrangeren of componeren rekening met de technische vaardigheden van de uitvoerende muzikanten en/of de eigen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de impliciete en expliciete kenmerken van het te arrangeren muziekstuk (opbouw, spanningsbogen, muzikaal-technische bijzonderheden, bedoeling van de componist, achtergrond, muziekhistorische context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Schrijft en herschrijft eventueel teksten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kenmerken van een muziekstuk vast aan de hand van partituren of teksten (opbouw, arrangementen, technische moeilijkheden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gebruik van hardware en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een eigen muziekschrift of beheerst een muzieknotatiesysteem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eigendomsrechten en regelt toestemming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voorwaarden voor de uitvoering met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programma samen in functie van de bezetting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alleen of met anderen ideeën voor optredens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bezetting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mogelijkheden en de beperkingen (materiaal, infrastructuur, tijd, budgetten, muzikanten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richtlijnen voor de organisatie van het podium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instrumenttechnische vaardigheden en/of zangvaardigheden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uitdrukkingsmogelijkheden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aan op het gebruik van bepaalde uitdrukkingsmogelijkheden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Studeert muziekstukken en/of teksten in (al dan niet uit het hoofd)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Onderbouwt de eigen artistieke visie en aanpak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over de eigen visie op heldere en doordachte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open en laat zich inspireren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en maakt afspraken met artistiek of creatief verantwoordelijke(n) en betrokken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composities of arrangementen aan om het artistieke concept op punt te 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anderen (muzikanten, podiumtechnici, andere kunstenaars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verschillende rollen, verantwoordelijkheden en belangen in het creatieproces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Observeert de muzikanten en geeft aanwijzingen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bewust van de eigen inbreng in het geheel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Presenteert werk aan een publiek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over eigen en andermans werk en praktijk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en communiceert over de eigen prestatie en/of de groepsprestatie met de betrokken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af of de artistieke uitdrukkingsvorm het gewenste effect heeft bereikt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collega’s en betrokken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Accepteert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consumer hard- en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muziek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Mixt de opnames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inhoudelijk materiaal aan voor de communicatie over de 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de uitvoering en zijn aandeel erin (uitvoering, inhoud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sociale/digitale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selectie van opnames in functie van kanaal en doel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langs welke kanalen (online, op fysieke dragers …) de opnames verspreid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bewust voor een bepaalde vormgeving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Improviseert wanneer de situatie daarom vraagt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Speelt flexibel in op ruimte en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het programma aan wijzigende omstandigheden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bij op aangeven van de creatief verantwoordelijken en betrokken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bij op aangeven van de andere betrokkenen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zichzelf bij ten voordele van een gemeenschappelijk resultaat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Handelt ergonomisch verantwoord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zich tegen gehoorschade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Gaat veilig om met materiaal en instrumenten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Ontwikkelt de eigen deskundigheid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Gaat scheppend, associatief en (re)productief om met intuïties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Geeft vorm aan verbeelding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Vertolkt artistieke ideeën in functie van de eigen inbreng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zich vertrouwd met de vereisten van het eigen aandeel in de voorstelling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Test alleen of met anderen ideeën voor optredens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het lichaam voor op de repetities, de voorstellingen, de opnames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zich voor op de fysische vereisten van het eigen aandeel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Beheerst instrumenttechnische vaardigheden en/of zangvaardigheden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Beheerst uitdrukkingsmogelijkheden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Manifesteert een persoonlijke aanpak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Stemt het muziekinstrument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stemapparatuur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Bespeelt het instrument en luistert naar de toonhoogte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Stemt de toonhoogte van de muziekinstrumenten op elkaar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Doet de nodige aanpassingen in functie van het eigen instrument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Luistert naar de kwaliteit van de klank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Onderhoudt instrumenttechnische vaardigheden en/of zangvaardigheden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techniek vast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de techniek in verschillende situaties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Doet stemoefeningen en/of instrumentale oefeningen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Gaat veilig en duurzaam om met lichaam en instrument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Oefent de samenzang en/of het samenspel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Vertolkt artistieke beslissingen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Geeft vorm aan eigen en andermans interpretatie, visie en verbeelding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Zoekt en onderzoekt instrumenttechnische- en uitdrukkingsmogelijkheden en/of zangtechnische- en uitdrukkingsmogelijkheden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persoonlijke kwaliteiten en vaardigheden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Gaat volledig op in het samenspel en teamwork zonder de eigenheid te verliezen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Voelt het ritme, de timing en de dynamiek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Stemt het zingen en/of muziek spelen af op de uitvoering van anderen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Kan zich volledig geven in het samenspel of teamwork zonder de eigenheid te verliezen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Speelt in op de reacties van het publiek en de andere muzikanten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musiceren/arrangeren/componeren situeert zich in de context van de amateurkunstensector. De omgeving is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arrangeren/componeren gebeurt meestal alleen maar kan ook in groep.</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repeteren gebeurt in vertrouwde omgevingen en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vertolken gebeurt in diverse omgevingen en omstandigheden, zowel binnen als buiten.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repeteren en vertolken gebeurt alleen en/of in teamverband.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repetities en vertolkingen worden afgebakend in de tijd, wat deadlines met zich meebrengt; resultaatgerichtheid, concentratie, stressbestendigheid, flexibiliteit en doorzettingsvermogen zijn belangrijke eigenschappen.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Repeteren en vertolken gebeurt meestal in de vrije tijd (’s avonds, tijdens weekends en/of in de gebruikelijke vakantieperiodes).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vertolken wordt rekening gehouden met de aanwezigheid van een publiek.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Kunstbeoefening gebeurt veel in gezinsverband.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artistiek proces bepaalt de volgorde van uitvoering van de verschillende activiteiten.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amateur kunstbeoefenaar heeft oog voor esthetiek.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Er is resultaatgerichtheid wat concentratie en nauwkeurigheid vergt.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amateur kunstbeoefenaar is actief betrokken bij de omgeving en gaat er flexibel mee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handelingscontext is afwisselend hetgeen enig reflectief handelen vergt.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amateur kunstbeoefenaar gaat veilig om met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amateur kunstbeoefenaar heeft oog voor de tevredenheid van het publiek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amateur kunstbeoefenaar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functioneren in een groep vraagt een zekere flexibiliteit.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componeren/arrangeren van muziekstukken en in het (her)schrijven van teksten.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memoriseren en/of aflezen van muziekstukken en/of teksten.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stem en/of instrument voor repetities, voorstellingen en opnames.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zich fysiek voorbereiden.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bedenken van concepten in de vrije tijd.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nemen van artistieke beslissingen in de vrije tijd.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vertolken van zijn aandeel.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reflecteren over en in het verbeteren van de eigen prestatie en/of de groepsprestatie en in het communiceren hierover.</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eigen concept, het collectieve concept en/of het concept van de dirigent.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uitvoerbaarheid van het concept.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beschikbaar budget.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beschikbaarheid van muzikanten.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technische mogelijkheden van het gebruikte instrument of van de stem.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intellectueel eigendomsrecht.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vaardigheden van de uitvoerende muzikanten.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medemuzikanten.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logistiek team.</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Functioneert binnen een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het eigen welzijn en het welzijn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een eigen artistieke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artistieke concepten en ideeën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Zet artistieke concepten en ideeën om in een uitvoerbaar geheel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Bestudeert en/of creëert het basisdocument van een uitvoering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voorwaarden voor de uitvoering.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het eigen lichaam, dat van medemuzikanten en het eigen instrument en dat van medemuzikanten voor op de nodige vaardigheden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Repeteert het eigen aandeel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Vertolkt alleen of met medemuzikanten/zangers zijn aandeel in de uitvoering voor het publiek en/of opname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Reflecteert over en verbetert de eigen prestatie en/of de groepsprestatie en communiceert hierover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de eigen uitvoering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Begeleidt de promotie en verspreiding naar de media en het publiek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