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0410</w:t>
      </w:r>
      <w:r>
        <w:t>)</w:t>
      </w:r>
    </w:p>
    <w:p w:rsidR="003B07E1" w:rsidRDefault="003B07E1" w:rsidP="003B07E1">
      <w:pPr>
        <w:pStyle w:val="DossierTitel"/>
      </w:pPr>
      <w:r>
        <w:t>Amateur vertolkend muzikant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Amateur vertolkend muzikant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Een amateur vertolkend muzikant oefent vocale en/of instrumentale muziekstukken in teneinde ze te vertolken tijdens een uitvoering en/of opname in de vrije tijd.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3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C04308" w:rsidRDefault="002C5C20" w:rsidP="002C5C20">
      <w:pPr>
        <w:spacing w:after="0" w:line="240" w:lineRule="auto"/>
        <w:rPr>
          <w:u w:val="single"/>
        </w:rPr>
      </w:pPr>
      <w:r w:rsidRPr="00CB1037">
        <w:rPr>
          <w:u w:val="single"/>
        </w:rPr>
        <w:t>Transversaal algemeen</w:t>
      </w:r>
    </w:p>
    <w:p w:rsidR="002C5C20" w:rsidRDefault="002C5C20" w:rsidP="002C5C20">
      <w:pPr>
        <w:spacing w:after="0" w:line="240" w:lineRule="auto"/>
      </w:pPr>
      <w:r w:rsidRPr="00463407"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samen (co 02617)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gepast met alle betrokken actoren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Overlegt over de voorbereiding en uitvoering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Doet een eigen inbreng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Respecteert de inbreng van anderen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aanwijzingen op van alle betrokken actoren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zich flexibel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mee aan het groepsbelang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Enthousiasmeert anderen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Functioneert binnen een groep (co 02618)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Beleeft de kunstuitvoering samen met anderen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Leert bij en vervolmaakt zich door samen uit te voeren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om met conflicten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Draagt bij tot de groepsdynamiek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Handelt conform de visie van de artistiek verantwoordelijke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met oog voor het eigen welzijn en het welzijn van anderen (co 02619)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Handelt ergonomisch verantwoord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Beschermt zich tegen gehoorschade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veilig om met materiaal en instrumenten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Signaleert risico’s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C04308" w:rsidRDefault="002C5C20" w:rsidP="002C5C20">
      <w:pPr>
        <w:spacing w:after="0" w:line="240" w:lineRule="auto"/>
        <w:rPr>
          <w:u w:val="single"/>
        </w:rPr>
      </w:pPr>
      <w:r w:rsidRPr="00CB1037">
        <w:rPr>
          <w:u w:val="single"/>
        </w:rPr>
        <w:t>Transversaal creëren</w:t>
      </w:r>
    </w:p>
    <w:p w:rsidR="002C5C20" w:rsidRDefault="002C5C20" w:rsidP="002C5C20">
      <w:pPr>
        <w:spacing w:after="0" w:line="240" w:lineRule="auto"/>
      </w:pPr>
      <w:r w:rsidRPr="00463407"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een eigen artistieke praktijk (co 02621)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maatschappelijke en artistieke tendensen in functie van de eigen bijdrage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artistieke en culturele praktijken in functie van de eigen bijdrage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technieken en technologische trends in relatie tot de eigen werkzaamheden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Reflecteert over de eigen praktijk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Heeft oog voor de eigen artistieke ontwikkeling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de eigen deskundigheid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C04308" w:rsidRDefault="002C5C20" w:rsidP="002C5C20">
      <w:pPr>
        <w:spacing w:after="0" w:line="240" w:lineRule="auto"/>
        <w:rPr>
          <w:u w:val="single"/>
        </w:rPr>
      </w:pPr>
      <w:r w:rsidRPr="00CB1037">
        <w:rPr>
          <w:u w:val="single"/>
        </w:rPr>
        <w:t>Specifieke activiteiten</w:t>
      </w:r>
    </w:p>
    <w:p w:rsidR="002C5C20" w:rsidRDefault="002C5C20" w:rsidP="002C5C20">
      <w:pPr>
        <w:spacing w:after="0" w:line="240" w:lineRule="auto"/>
      </w:pPr>
      <w:r w:rsidRPr="00463407"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Bereidt het lichaam en het instrument voor op de nodige vaardigheden (L120201 Id16530-c)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Bereidt het lichaam voor op de repetities, de voorstellingen, de opnames ...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Beheerst instrumenttechnische en/of zangvaardigheden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Beheerst uitdrukkingsmogelijkheden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Stemt het muziekinstrument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Bespeelt het instrument en luistert naar de toonhoogte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Doet de nodige aanpassingen in functie van zijn instrument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Luistert naar de kwaliteit van de klank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Onderhoudt instrumenttechnische en/of zangvaardigheden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de techniek vast en zet ze in verschillende situaties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Doet stemoefeningen of instrumentale oefeningen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veilig en duurzaam om met lichaam en instrument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Bestudeert/analyseert het basismateriaal van een uitvoering  (co 02622)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Vergaart informatie en maakt hier gebruik van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Interpreteert het basismateriaal volgens aanwijzingen van de artistiek of creatief verantwoordelijken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Ontwikkelt artistieke ideeën in verband met de eigen inbreng en kan deze vertolken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Bespreekt met artistiek of creatief verantwoordelijken zijn persoonlijke inbreng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zich vertrouwd met de vereisten van zijn aandeel in de voorstelling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Repeteert het eigen aandeel (L120201 Id17388-c)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Studeert muziekstukken en/of teksten in (al dan niet uit het hoofd)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aanwijzingen van de dirigent en/of creërend muzikant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Oefent de samenzang en/of het samenspel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Kan de bereikte uitvoeringsgraad vasthouden, herhalen en er op verder werken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persoonlijke kwaliteiten en vaardigheden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en maakt afspraken met artistiek of creatief verantwoordelijke(n) en betrokken medewerkers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Zoekt en onderzoekt instrumenttechnische- en uitdrukkingsmogelijkheden en/of zangtechnische- en uitdrukkingsmogelijkheden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volledig op in het samenspel en teamwork zonder de eigenheid te verliezen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Gaat efficiënt om met de verschillende rollen, verantwoordelijkheden en belangen in het creatieproces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Vertolkt alleen of met medemuzikanten/zangers zijn aandeel in de uitvoering voor het publiek en/of opname (co 02623)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Voelt het ritme, de timing en de dynamiek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Stemt het zingen en/of muziek spelen af op de uitvoering van andere muzikanten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Observeert de dirigent/creërend muzikant en volgt aanwijzingen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Is bewust van de eigen inbreng in het geheel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Respecteert de gemaakte afspraken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Presenteert werk aan een publiek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Manifesteert een persoonlijke aanpak (klemtonen, stijl, visie)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Speelt flexibel in op ruimte en omstandigheden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Speelt in op de reacties van het publiek en de andere muzikanten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Stuurt bij op aangeven van de creatief verantwoordelijken en betrokken medewerkers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Reflecteert over en verbetert de eigen prestatie en/of de groepsprestatie en communiceert hierover (co 02624)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Reflecteert en communiceert over de eigen prestatie en/of de groepsprestatie met de creatief verantwoordelijken, de betrokken medewerkers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Stuurt bij op aangeven van de creatief of artistiek verantwoordelijken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Stuurt zichzelf bij ten voordele van een gemeenschappelijk resultaat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afspraken met artistiek of creatief verantwoordelijke(n) en betrokken medewerkers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Accepteert feedback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zich flexibel op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Begeleidt de promotie en verspreiding naar de media en het publiek  (co 02625)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Geeft informatie over de uitvoering en zijn aandeel erin (uitvoering, inhoud, 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sociale/digitale media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verschillende muzikale contexten (de podiumsector, festivals, evenementen, wedstrijden …).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grote muzikale maatschappelijke tendensen.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artistieke terminologie.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instrumentale en/of vocale uitdrukkingsmogelijkheden.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instrumentale en/of vocale 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muziekstijlen.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stemopwarmingstechnieken.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ademhalingstechnieken.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uitspraaktechnieken.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gehoortraining.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gehoorbescherming.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memorisatietechnieken.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ritmiek.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muzieknotatie.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vakterminologie.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de relevante informatiebronnen, eigen aan de sector (tijdschriften, websites, steunpunten, conferenties, opleidingen …).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ergonomie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veiligheidsregels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sociale/digitale media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instrument.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gepast met alle betrokken actoren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over de voorbereiding en uitvoering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inbreng van 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op van alle betrokken actoren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zich flexibel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mee aan het groepsbelang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Enthousiasmeert 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Beleeft de kunstuitvoering samen met 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Leert bij en vervolmaakt zich door samen uit te voeren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om met conflicten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Draagt bij tot de groepsdynamiek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conform de visie van de artistiek verantwoordelijke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Signaleert risico’s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maatschappelijke en artistieke tendensen in functie van de eigen bijdrage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artistieke en culturele praktijken in functie van de eigen bijdrage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technieken en technologische trends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over de eigen praktijk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de eigen artistieke ontwikkeling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Luistert naar de kwaliteit van de klank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Vergaart informatie en maakt hier gebruik van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Interpreteert het basismateriaal volgens aanwijzingen van de artistiek of creatief verantwoordelijken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Ontwikkelt artistieke ideeën in verband met de eigen inbreng en kan deze vertolken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met artistiek of creatief verantwoordelijken zijn persoonlijke inbreng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zich vertrouwd met de vereisten van zijn aandeel in de voorstelling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Studeert muziekstukken en/of teksten in (al dan niet uit het hoofd)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aanwijzingen van de dirigent en/of creërend muzikant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en maakt afspraken met artistiek of creatief verantwoordelijke(n) en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efficiënt om met de verschillende rollen, verantwoordelijkheden en belangen in het creatieproces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Voelt het ritme, de timing en de dynamiek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Observeert de dirigent/creërend muzikant en volgt aanwijzingen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Is bewust van de eigen inbreng in het geheel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Presenteert werk aan een publiek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bij op aangeven van de creatief verantwoordelijken en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Reflecteert en communiceert over de eigen prestatie en/of de groepsprestatie met de creatief verantwoordelijken, de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bij op aangeven van de creatief of artistiek verantwoordelijken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afspraken met artistiek of creatief verantwoordelijke(n) en betrokken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Accepteert feedback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zich flexibel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informatie over de uitvoering en zijn aandeel erin (uitvoering, inhoud,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sociale/digitale media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Speelt flexibel in op ruimte en omstandigheden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Speelt in op de reacties van het publiek en de andere muzikanten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Stuurt zichzelf bij ten voordele van een gemeenschappelijk resultaat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Doet een eigen inbreng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Handelt ergonomisch verantwoord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Beschermt zich tegen gehoorschade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Gaat veilig om met materiaal en instrumenten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Ontwikkelt de eigen deskundigheid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Bereidt het lichaam voor op de repetities, de voorstellingen, de opnames ...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Beheerst instrumenttechnische en/of zangvaardigheden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Beheerst uitdrukkingsmogelijkheden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Stemt het muziekinstrument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Bespeelt het instrument en luistert naar de toonhoogte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Doet de nodige aanpassingen in functie van zijn instrument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Onderhoudt instrumenttechnische en/of zangvaardigheden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Houdt de techniek vast en zet ze in verschillende situaties in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Doet stemoefeningen of instrumentale oefeningen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Gaat veilig en duurzaam om met lichaam en instrument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Oefent de samenzang en/of het samenspel in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Kan de bereikte uitvoeringsgraad vasthouden, herhalen en er op verder werken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Zet persoonlijke kwaliteiten en vaardigheden in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Zoekt en onderzoekt instrumenttechnische- en uitdrukkingsmogelijkheden en/of zangtechnische- en uitdrukkingsmogelijkheden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Gaat volledig op in het samenspel en teamwork zonder de eigenheid te verliezen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Stemt het zingen en/of muziek spelen af op de uitvoering van andere muzikanten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Manifesteert een persoonlijke aanpak (klemtonen, stijl, visie)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musiceren wordt uitgeoefend in de amateurkunstensector. De omgeving is artistiek/creatief.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repeteren gebeurt meestal in vertrouwde omgevingen en omstandigheden.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vertolken gebeurt in diverse omgevingen en omstandigheden zowel binnen als buiten.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repeteren en vertolken gebeurt alleen en/of in teamverband.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repetities en vertolkingen worden afgebakend in de tijd, wat deadlines met zich meebrengt: resultaatgerichtheid, concentratie, stressbestendigheid, flexibiliteit en doorzettingsvermogen zijn belangrijke eigenschappen.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Repeteren en vertolken gebeurt meestal in de vrije tijd (’s avonds, tijdens weekends en/of in de gebruikelijke vakantieperiodes).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Bij het vertolken wordt rekening gehouden met de aanwezigheid van een publiek.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Kunstbeoefening gebeurt veel in gezinsverband.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artistiek proces bepaalt de volgorde van uitvoering van de verschillende activiteiten.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Men dient rekening te houden met een opgelegde hiërarchie.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oog voor esthetiek.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Er is resultaatgerichtheid wat concentratie en nauwkeurigheid vergt.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is actief betrokken bij de omgeving en gaat er flexibel mee om.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handelingscontext is afwisselend hetgeen enig reflectief handelen vergt.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gaat veilig om met materiaal.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oog voor de tevredenheid van het publiek door met zorg, precisie en toewijding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amateur kunstbeoefenaar heeft bijzondere aandacht voor de (artistieke/creatieve) context van het eindproduct.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functioneren in een groep vraagt een zekere flexibiliteit.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memoriseren en/of aflezen van muziekstukken en/of teksten.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voorbereiden van stem en/of instrument voor repetities, voorstellingen en opnames.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zich fysiek voorbereiden.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vertolken van artistieke beslissingen.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vertolken van het eigen aandeel.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reflecteren over en het verbeteren van de eigen prestatie en/of groepsprestatie en in het communiceren hierover.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concept van de dirigent/creërend muzikant.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technische mogelijkheden van het gebruikte instrument of van de stem.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intellectueel eigendomsrecht.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medemuzikanten.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dirigent/creërend muzikant.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logistiek team.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samen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Functioneert binnen een groep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het eigen welzijn en het welzijn van anderen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een eigen artistieke praktijk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het lichaam en het instrument voor op de nodige vaardigheden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Bestudeert/analyseert het basismateriaal van een uitvoering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Repeteert het eigen aandeel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Vertolkt alleen of met medemuzikanten/zangers zijn aandeel in de uitvoering voor het publiek en/of opname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Reflecteert over en verbetert de eigen prestatie en/of de groepsprestatie en communiceert hierover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Begeleidt de promotie en verspreiding naar de media en het publiek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>esten of voorwaarden verplicht.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