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Amateur creërend acteur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BK-0409-2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Amateur creërend acteur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Een amateur creërend acteur vertolkt in de vrije tijd zichzelf of personages en houdt zich aan de intenties van de artistiek verantwoordelijken of is zelf artistiek verantwoordelijk ten einde een theaterproductie aan een publiek te presenteren.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Transversaal algemeen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met alle betrokken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en uitvoering.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een eigen inbreng.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inbreng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mee aan het groepsbelang.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Enthousiasmeert anderen.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Functioneert binnen een 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Beleeft de kunstuitvoering samen met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bij en vervolmaakt zich door samen te creëren.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conflicten.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conform de visie van de artistiek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de groepsdynamiek.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het eigen welzijn en het welzijn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ergonomisch verantwoord.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om met materiaal, gereedschap, toestellen, apparatuur enz.</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risico’s.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ergonomie</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veiligheidsregels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Transversaal creëren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Ontwikkelt een eigen artistieke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maatschappelijke en artistieke tendensen.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artistieke en culturele praktijken in functie van zijn bijdrage.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technieken en technologische trends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over de eigen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een eigen artistieke taal vanuit persoonlijke en maatschappelijke betrokkenheid.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oog voor de eigen artistieke ontwikkeling.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de eigen deskundigheid.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artistieke terminologie.</w:t>
      </w:r>
      <w:r w:rsidRPr="000F2A0A">
        <w:rPr>
          <w:sz w:val="22"/>
        </w:rPr>
        <w:t/>
      </w:r>
    </w:p>
    <w:p w:rsidR="000F2A0A" w:rsidRDefault="000F2A0A" w:rsidP="000F2A0A">
      <w:pPr>
        <w:pStyle w:val="Voetnoot"/>
        <w:numPr>
          <w:ilvl w:val="1"/>
          <w:numId w:val="14"/>
        </w:numPr>
      </w:pPr>
      <w:r w:rsidRPr="000F2A0A">
        <w:rPr>
          <w:sz w:val="22"/>
        </w:rPr>
        <w:t/>
      </w:r>
      <w:r>
        <w:rPr>
          <w:sz w:val="22"/>
        </w:rPr>
        <w:t>Basiskennis van grote maatschappelijke en artistieke tendensen.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theatrale contexten (de podiumsector, festivals, evenementen, wedstrijden …).</w:t>
      </w:r>
      <w:r w:rsidRPr="000F2A0A">
        <w:rPr>
          <w:sz w:val="22"/>
        </w:rPr>
        <w:t/>
      </w:r>
    </w:p>
    <w:p w:rsidR="000F2A0A" w:rsidRDefault="000F2A0A" w:rsidP="000F2A0A">
      <w:pPr>
        <w:pStyle w:val="Voetnoot"/>
        <w:numPr>
          <w:ilvl w:val="1"/>
          <w:numId w:val="14"/>
        </w:numPr>
      </w:pPr>
      <w:r w:rsidRPr="000F2A0A">
        <w:rPr>
          <w:sz w:val="22"/>
        </w:rPr>
        <w:t/>
      </w:r>
      <w:r>
        <w:rPr>
          <w:sz w:val="22"/>
        </w:rPr>
        <w:t>Kennis van de relevante informatiebronnen eigen aan de sector (tijdschriften, websites, steunpunten, conferenties, opleidingen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Ontwikkelt artistieke concepten en ideeën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opgedane inzichten in het creatieve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basismateriaal.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basismateriaal.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aan een persoonlijke 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aan een collectieve 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scheppend, associatief en (re)productief om met intuïties.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Interageert met andere artistieke disciplines.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Transformeert waarnemingen en indrukken in artistieke ideeën.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cultuurgeschiedenis.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filmgeschiedenis.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theatergeschiedenis.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creatieprocessen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Zet artistieke concepten en ideeën om in een uitvoerbaar geheel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vorm aan verbeelding.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materialen, technieken en methodes.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materialen, technieken en methodes.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artistieke aanwijzingen.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Interageert met betrokken medewerkers (acteurs, regisseur, productiemedewerkers, podiumtechnici, ateliermedewerkers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mee de artistieke visie.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creatieprocessen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Specifieke activiteiten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Bestudeert/analyseert en/of creërt het basisdocument  van een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Onderzoekt en verdiept zich in de thematiek van een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verschillende bronnen, sorteert en selecteert materiaal in functie van een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Vormt zich een mentaal beeld van zijn aandeel in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Vormt zich een globaal beeld van het productieproces en de podiumactiviteit.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verbeelding gericht in ter ontwikkeling van een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in collectief verband of individueel een tekst/script voor een theaterstuk, cabaret- of comedyvoorstelling.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of bewerkt in collectief verband of individueel de tekst voor een voorstelling en werkt de enscenering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artistieke kwaliteiten van het oorspronkelijke 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met artistiek of creatief verantwoordelijken zijn persoonlijke inbreng.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zich vertrouwd met de vereisten van zijn rol(len) in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cultuurgeschiedenis.</w:t>
      </w:r>
      <w:r w:rsidRPr="000F2A0A">
        <w:rPr>
          <w:sz w:val="22"/>
        </w:rPr>
        <w:t/>
      </w:r>
    </w:p>
    <w:p w:rsidR="000F2A0A" w:rsidRDefault="000F2A0A" w:rsidP="000F2A0A">
      <w:pPr>
        <w:pStyle w:val="Voetnoot"/>
        <w:numPr>
          <w:ilvl w:val="1"/>
          <w:numId w:val="14"/>
        </w:numPr>
      </w:pPr>
      <w:r w:rsidRPr="000F2A0A">
        <w:rPr>
          <w:sz w:val="22"/>
        </w:rPr>
        <w:t/>
      </w:r>
      <w:r>
        <w:rPr>
          <w:sz w:val="22"/>
        </w:rPr>
        <w:t>Basiskennis van auteursrechtwetgeving.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filmgeschiedenis.</w:t>
      </w:r>
      <w:r w:rsidRPr="000F2A0A">
        <w:rPr>
          <w:sz w:val="22"/>
        </w:rPr>
        <w:t/>
      </w:r>
    </w:p>
    <w:p w:rsidR="000F2A0A" w:rsidRDefault="000F2A0A" w:rsidP="000F2A0A">
      <w:pPr>
        <w:pStyle w:val="Voetnoot"/>
        <w:numPr>
          <w:ilvl w:val="1"/>
          <w:numId w:val="14"/>
        </w:numPr>
      </w:pPr>
      <w:r w:rsidRPr="000F2A0A">
        <w:rPr>
          <w:sz w:val="22"/>
        </w:rPr>
        <w:t/>
      </w:r>
      <w:r>
        <w:rPr>
          <w:sz w:val="22"/>
        </w:rPr>
        <w:t>Basiskennis tekst- en voorstellingsanalyse.</w:t>
      </w:r>
      <w:r w:rsidRPr="000F2A0A">
        <w:rPr>
          <w:sz w:val="22"/>
        </w:rPr>
        <w:t/>
      </w:r>
    </w:p>
    <w:p w:rsidR="000F2A0A" w:rsidRDefault="000F2A0A" w:rsidP="000F2A0A">
      <w:pPr>
        <w:pStyle w:val="Voetnoot"/>
        <w:numPr>
          <w:ilvl w:val="1"/>
          <w:numId w:val="14"/>
        </w:numPr>
      </w:pPr>
      <w:r w:rsidRPr="000F2A0A">
        <w:rPr>
          <w:sz w:val="22"/>
        </w:rPr>
        <w:t/>
      </w:r>
      <w:r>
        <w:rPr>
          <w:sz w:val="22"/>
        </w:rPr>
        <w:t>Basiskennis van theatergeschiedenis.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creatieprocessen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de decors, belichting, kostuums ... naargelang het project (thema, tijdperk ...) en het budget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individueel of in collectief verband locaties, decors, kostuums, licht, geluid … volgens het artistieke concept en in overleg met ontwerpers, technici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vanuit zijn bijdrage suggesties voor aanpassingen aan decor/setting, techniek en kostuums.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artistieke aspecten (stijl, sfeer …) van technische ontwerpen (licht, geluid, decor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beschikbare tijd, budgetten en technische beperkingen (zaal, aanwezig materiaal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scenografie</w:t>
      </w:r>
      <w:r w:rsidRPr="000F2A0A">
        <w:rPr>
          <w:sz w:val="22"/>
        </w:rPr>
        <w:t/>
      </w:r>
    </w:p>
    <w:p w:rsidR="000F2A0A" w:rsidRDefault="000F2A0A" w:rsidP="000F2A0A">
      <w:pPr>
        <w:pStyle w:val="Voetnoot"/>
        <w:numPr>
          <w:ilvl w:val="1"/>
          <w:numId w:val="14"/>
        </w:numPr>
      </w:pPr>
      <w:r w:rsidRPr="000F2A0A">
        <w:rPr>
          <w:sz w:val="22"/>
        </w:rPr>
        <w:t/>
      </w:r>
      <w:r>
        <w:rPr>
          <w:sz w:val="22"/>
        </w:rPr>
        <w:t>Basiskennis budgetbeheer.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Neemt deel aan audities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Studeert tekstfragmenten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Vormt zich een inhoudelijk beeld van personage, scene en handeling.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Improviseert.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Bewijst zijn kwaliteiten.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Beargumenteert zijn kwaliteiten.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tegenspel tijdens audities.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gebarentechnieken.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technieken voor lichaamsexpressie</w:t>
      </w:r>
      <w:r w:rsidRPr="000F2A0A">
        <w:rPr>
          <w:sz w:val="22"/>
        </w:rPr>
        <w:t/>
      </w:r>
    </w:p>
    <w:p w:rsidR="000F2A0A" w:rsidRDefault="000F2A0A" w:rsidP="000F2A0A">
      <w:pPr>
        <w:pStyle w:val="Voetnoot"/>
        <w:numPr>
          <w:ilvl w:val="1"/>
          <w:numId w:val="14"/>
        </w:numPr>
      </w:pPr>
      <w:r w:rsidRPr="000F2A0A">
        <w:rPr>
          <w:sz w:val="22"/>
        </w:rPr>
        <w:t/>
      </w:r>
      <w:r>
        <w:rPr>
          <w:sz w:val="22"/>
        </w:rPr>
        <w:t>Basiskennis van stemvormingstechnieken.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uitspraaktechnieken.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Memoriseert de inhoud (dialogen, volgorde van scènes, bedrijven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elementaire memorisatietechnieken (bv. geheugensteuntjes).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Memoriseert zijn tekst en de volgorde van scènes en bedrijven.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concentratietechnieken.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memorisatietechnieken.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Bereidt het lichaam en de stem voor op de nodige vaardigheden inzake lichaam, stem, taal en ruimte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lichaam en de stem voor op de repetities, de voorstellingen, de opnames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zich voor op de fysische vereisten van zijn aandeel.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andere uitdrukkingsvormen in functie van de vereisten van artistieke projecten.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zich voor op de opname/voorstelling (make-up, kapsel, kledij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veilig en duurzaam om met stem, lichaam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en onderhoudt systematisch een goede stemhygiëne.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elementaire ademhalings- en stem(vormings)technieken.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relaxatietechnieken.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gebarentechnieken.</w:t>
      </w:r>
      <w:r w:rsidRPr="000F2A0A">
        <w:rPr>
          <w:sz w:val="22"/>
        </w:rPr>
        <w:t/>
      </w:r>
    </w:p>
    <w:p w:rsidR="000F2A0A" w:rsidRDefault="000F2A0A" w:rsidP="000F2A0A">
      <w:pPr>
        <w:pStyle w:val="Voetnoot"/>
        <w:numPr>
          <w:ilvl w:val="1"/>
          <w:numId w:val="14"/>
        </w:numPr>
      </w:pPr>
      <w:r w:rsidRPr="000F2A0A">
        <w:rPr>
          <w:sz w:val="22"/>
        </w:rPr>
        <w:t/>
      </w:r>
      <w:r>
        <w:rPr>
          <w:sz w:val="22"/>
        </w:rPr>
        <w:t>Basiskennis oefeningen om lichaam optimaal voor te bereiden.</w:t>
      </w:r>
      <w:r w:rsidRPr="000F2A0A">
        <w:rPr>
          <w:sz w:val="22"/>
        </w:rPr>
        <w:t/>
      </w:r>
    </w:p>
    <w:p w:rsidR="000F2A0A" w:rsidRDefault="000F2A0A" w:rsidP="000F2A0A">
      <w:pPr>
        <w:pStyle w:val="Voetnoot"/>
        <w:numPr>
          <w:ilvl w:val="1"/>
          <w:numId w:val="14"/>
        </w:numPr>
      </w:pPr>
      <w:r w:rsidRPr="000F2A0A">
        <w:rPr>
          <w:sz w:val="22"/>
        </w:rPr>
        <w:t/>
      </w:r>
      <w:r>
        <w:rPr>
          <w:sz w:val="22"/>
        </w:rPr>
        <w:t>Basiskennis van technieken voor lichaamsexpressie</w:t>
      </w:r>
      <w:r w:rsidRPr="000F2A0A">
        <w:rPr>
          <w:sz w:val="22"/>
        </w:rPr>
        <w:t/>
      </w:r>
    </w:p>
    <w:p w:rsidR="000F2A0A" w:rsidRDefault="000F2A0A" w:rsidP="000F2A0A">
      <w:pPr>
        <w:pStyle w:val="Voetnoot"/>
        <w:numPr>
          <w:ilvl w:val="1"/>
          <w:numId w:val="14"/>
        </w:numPr>
      </w:pPr>
      <w:r w:rsidRPr="000F2A0A">
        <w:rPr>
          <w:sz w:val="22"/>
        </w:rPr>
        <w:t/>
      </w:r>
      <w:r>
        <w:rPr>
          <w:sz w:val="22"/>
        </w:rPr>
        <w:t>Basiskennis stemtechnieken.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stemvormingstechnieken.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uitspraaktechnieken.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kapseltechnieken.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make-uptechnieken.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Repeteert zijn aandeel in de productie en stelt mogelijke interpretaties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artistieke beslissingen.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Vertolkt artistieke beslissingen.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vorm aan eigen en andermans interpretatie, visie en verbeelding.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hier op heldere en doordachte wijze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onderzoekt, improviseert en experimenteert.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open en laat zich inspireren.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Onderbouwt voor zichzelf artistieke beslissingen of aanpak.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tekst, stem, houding, gebaar en beweging.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lichaam, stem en uitspraak op elkaar af in functie van de rol.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volledig op in het samenspel en teamwork zonder zijn eigenheid te verliezen.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Studeert bewegingen bij de tekst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verschillende rollen, verantwoordelijkheden en belangen in het creatieproces.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verschillende samenwerkingsverbanden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repetities en voorstellingen met spelers en medewerkers.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gebarentechnieken.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technieken voor lichaamsexpressie</w:t>
      </w:r>
      <w:r w:rsidRPr="000F2A0A">
        <w:rPr>
          <w:sz w:val="22"/>
        </w:rPr>
        <w:t/>
      </w:r>
    </w:p>
    <w:p w:rsidR="000F2A0A" w:rsidRDefault="000F2A0A" w:rsidP="000F2A0A">
      <w:pPr>
        <w:pStyle w:val="Voetnoot"/>
        <w:numPr>
          <w:ilvl w:val="1"/>
          <w:numId w:val="14"/>
        </w:numPr>
      </w:pPr>
      <w:r w:rsidRPr="000F2A0A">
        <w:rPr>
          <w:sz w:val="22"/>
        </w:rPr>
        <w:t/>
      </w:r>
      <w:r>
        <w:rPr>
          <w:sz w:val="22"/>
        </w:rPr>
        <w:t>Basiskennis stemtechnieken.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stemvormingstechnieken.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uitspraaktechnieken.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Vertolkt alleen of met medespelers zijn aandeel in de productie voor het publiek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Presenteert werk aan een publiek.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Manifesteert een persoonlijke aanpak (klemtonen, stijl, visie) in de vertolking van zijn aandeel.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Speelt flexibel in op ruimte en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 bepaalde omstandigheden stunts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persoonlijke spelkwaliteiten, spelvaardigheden en spelstrategieën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Speelt in op de reacties van het publiek en de medespelers.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snelle kostuumwissels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Improviseert wanneer de situatie daarom vraagt.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bij op aangeven van andere betrokkenen.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gebarentechnieken.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technieken voor lichaamsexpressie</w:t>
      </w:r>
      <w:r w:rsidRPr="000F2A0A">
        <w:rPr>
          <w:sz w:val="22"/>
        </w:rPr>
        <w:t/>
      </w:r>
    </w:p>
    <w:p w:rsidR="000F2A0A" w:rsidRDefault="000F2A0A" w:rsidP="000F2A0A">
      <w:pPr>
        <w:pStyle w:val="Voetnoot"/>
        <w:numPr>
          <w:ilvl w:val="1"/>
          <w:numId w:val="14"/>
        </w:numPr>
      </w:pPr>
      <w:r w:rsidRPr="000F2A0A">
        <w:rPr>
          <w:sz w:val="22"/>
        </w:rPr>
        <w:t/>
      </w:r>
      <w:r>
        <w:rPr>
          <w:sz w:val="22"/>
        </w:rPr>
        <w:t>Basiskennis stemtechnieken.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stemvormingstechnieken.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uitspraaktechnieken.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Reflecteert over en verbetert de eigen prestatie en/of de groepsprestatie en communiceert hierover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af of de artistieke uitdrukkingsvorm het gewenste effect heeft bereikt.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over eigen en andermans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over de eigen prestatie en/of de groepsprestatie.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zichzelf bij ten voordele van een gemeenschappelijk resultaat.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bij op aangeven van andere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over de eigen prestatie en/of de groepsprestatie met de creatief verantwoordelijken, de betrokken medewerkers en het publiek.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met collega’s en betrokken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Accepteert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Begeleidt de promotie en verspreiding naar de media en het publiek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inhoudelijk materiaal aan voor de communicatie over de voorstelling.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informatie over de voorstelling en zijn aandeel erin (uitvoering, inhoud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sociale/digitale media.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contacten met lokale media, radio en televisie.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communicatiestijl aan de doelgroep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interviews.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veiligheidsregels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artistieke terminologie.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cultuurgeschiedenis.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auteursrechtwetgeving.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filmgeschiedenis.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tekst- en voorstellingsanalyse.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theatergeschiedenis.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relaxatietechnieken.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gebarentechnieken.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scenografie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oefeningen om lichaam optimaal voor te bereiden.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technieken voor lichaamsexpressie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stemtechnieken.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stemvormingstechnieken.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uitspraaktechnieken.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memorisatietechnieken.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kapseltechnieken.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make-uptechnieken.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grote maatschappelijke en artistieke tendensen.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budgetbeheer.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theatrale contexten (de podiumsector, festivals, evenementen, wedstrijden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creatieprocessen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informatiebronnen eigen aan de sector (tijdschriften, websites, steunpunten, conferenties, opleidingen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en 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inbreng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mee aan het groepsbelang.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Enthousiasmeert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bij en vervolmaakt zich door samen te creëren.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om met conflicten.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conform de visie van de artistiek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de groepsdynamiek.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maatschappelijke en artistieke tendensen.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artistieke en culturele praktijken in functie van zijn bijdrage.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technieken en technologische trends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de eigen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Ontwikkelt een eigen artistieke taal vanuit persoonlijke en maatschappelijke betrokkenheid.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oog voor de eigen artistieke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opgedane inzichten in het creatieve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basismateriaal.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persoonlijke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aan een collectieve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scheppend, associatief en (re)productief om met intuïties.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Interageert met andere artistieke disciplines.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Transformeert waarnemingen en indrukken in artistieke ideeën.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materialen, technieken en 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artistieke aanwijzingen.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Interageert met betrokken medewerkers (acteurs, regisseur, productiemedewerkers, podiumtechnici, ateliermedewerkers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mee de artistieke 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Onderzoekt en verdiept zich in de thematiek van een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verschillende bronnen, sorteert en selecteert materiaal in functie van een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Vormt zich een mentaal beeld van zijn aandeel in de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Vormt zich een globaal beeld van het productieproces en de podiumactiviteit.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de verbeelding gericht in ter ontwikkeling van een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Schrijft in collectief verband of individueel een tekst/script voor een theaterstuk, cabaret- of comedyvoorstelling.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of bewerkt in collectief verband of individueel de tekst voor een voorstelling en werkt de enscenering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artistieke kwaliteiten van het oorspronkelijke stuk.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met artistiek of creatief verantwoordelijken zijn persoonlijke inbreng.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individueel of in collectief verband locaties, decors, kostuums, licht, geluid … volgens het artistieke concept en in overleg met ontwerpers, technici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vanuit zijn bijdrage suggesties voor aanpassingen aan decor/setting, techniek en kostuums.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artistieke aspecten (stijl, sfeer …) van technische ontwerpen (licht, geluid, decor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beschikbare tijd, budgetten en technische beperkingen (zaal, aanwezig materiaal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Studeert tekstfragmenten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Vormt zich een inhoudelijk beeld van personage, scene en 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Beargumenteert zijn kwaliteiten.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elementaire memorisatietechnieken (bv. geheugensteuntjes).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Memoriseert zijn tekst en de volgorde van scènes en bedrijven.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concentratietechnieken.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artistieke beslissingen.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hier op heldere en doordachte wijze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onderzoekt, improviseert en experimenteert.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open en laat zich inspireren.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Onderbouwt voor zichzelf artistieke beslissingen of aanpak.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volledig op in het samenspel en teamwork zonder zijn eigenheid te verliezen.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verschillende rollen, verantwoordelijkheden en belangen in het creatieproces.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verschillende samenwerkingsverbanden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repetities en voorstellingen met spelers 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bij op aangeven van andere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af of de artistieke uitdrukkingsvorm het gewenste effect heeft bereikt.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eigen en andermans praktijk.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Reflecteert over de eigen prestatie en/of de groepsprestatie.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zichzelf bij ten voordele van een gemeenschappelijk resultaat.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bij op aangeven van andere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de eigen prestatie en/of de groepsprestatie met de creatief verantwoordelijken, de betrokken medewerkers en het publiek.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collega’s en betrokken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Accepteert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inhoudelijk materiaal aan voor de communicatie over de voorstelling.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de voorstelling en zijn aandeel erin (uitvoering, inhoud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sociale/digitale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contacten met lokale media, radio en televisie.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communicatiestijl aan de doelgroep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interviews.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Improviseert.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Speelt flexibel in op ruimte en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Improviseert wanneer de situatie daarom vraagt.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een eigen inbreng.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Beleeft de kunstuitvoering samen met anderen.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Handelt ergonomisch verantwoord.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om met materiaal, gereedschap, toestellen, apparatuur enz.</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Ontwikkelt de eigen deskundigheid.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vorm aan verbeelding.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materialen, technieken en methodes.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zich vertrouwd met de vereisten van zijn rol(len) in de voorstelling.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Bewijst zijn kwaliteiten.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tegenspel tijdens audities.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het lichaam en de stem voor op de repetities, de voorstellingen, de opnames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zich voor op de fysische vereisten van zijn aandeel.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Verwerft andere uitdrukkingsvormen in functie van de vereisten van artistieke projecten.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zich voor op de opname/voorstelling (make-up, kapsel, kledij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veilig en duurzaam om met stem, lichaam en 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Bewaakt en onderhoudt systematisch een goede stemhygiëne.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elementaire ademhalings- en stem(vormings)technieken.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Vertolkt artistieke beslissingen.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vorm aan eigen en andermans interpretatie, visie en verbeelding.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tekst, stem, houding, gebaar en beweging.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Stemt lichaam, stem en uitspraak op elkaar af in functie van de rol.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Studeert bewegingen bij de tekst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Presenteert werk aan een publiek.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Manifesteert een persoonlijke aanpak (klemtonen, stijl, visie) in de vertolking van zijn aandeel.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in bepaalde omstandigheden stunts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persoonlijke spelkwaliteiten, spelvaardigheden en spelstrategieën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Speelt in op de reacties van het publiek en de medespelers.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snelle kostuumwissels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kunstbeoefenaar is actief uit liefhebberij.</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kunstbeoefenaar is actief binnen de amateurpodiumkunstensector. De omgeving is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kunstbeoefenaar is actief in diverse omgevingen en omstandigheden (thuissfeer, verenigingsleven, private (commerciële) sfeer, publieke ruimte, in een culturele organisatie, via een educatieve aanbieder, onderwijsinstelling ...) zowel binnen als buiten.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kunstbeoefenaar dient rekening te houden met de aanwezigheid van een publiek en werkt soms tussen en met dat publiek.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Kunstbeoefening gebeurt veel in gezinsverband.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het algemeen beoefenen amateurkunstenaars hun activiteit vaker ’s avonds, in het weekend en tijdens vakantieperiodes.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artistiek proces bepaalt de volgorde van uitvoering van de verschillende 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kunstbeoefenaar werkt meestal in teamverband.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Men dient rekening te houden met een opgelegde hiërarchie.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Kunstbeoefenaars hebben oog voor esthetiek.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Er is resultaatgerichtheid wat concentratie en nauwkeurigheid vergt.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Kunstbeoefenaars zijn actief betrokken bij de omgeving en gaan er flexibel mee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handelingscontext is afwisselend, vergt enig reflectief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kunstbeoefenaar moet oog hebben voor de tevredenheid van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kunstbeoefenaar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functioneren in een groep vraagt een zekere flexibiliteit.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memoriseren van zijn tekst en de volgorde van scenes en bedrijven.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lichaam en stem voor repetities, voorstellingen en opnames.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creëren van een basisdocument.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selecteren van decor, belichting, kostuums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vertolken van artistieke beslissingen.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vertolken van zijn aandeel.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reflecteren over en het verbeteren van de eigen prestatie en/of groepsprestatie en in de communicatie hierover.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deelnemen aan audities.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zijn visie, de collectieve visie of de visie van de regisseur.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beschikbaar budget.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en de bekwaamheden van de spelers.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intellectueel eigendomsrecht.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medespelers.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regisseur.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artistiek team (decor, kostuum, licht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informatiebronnen.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Functioneert binnen een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het eigen welzijn en het welzijn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een eigen artistieke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artistieke concepten en ideeën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artistieke concepten en ideeën om in een uitvoerbaar geheel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Bestudeert/analyseert en/of creërt het basisdocument  van een voorstelling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de decors, belichting, kostuums ... naargelang het project (thema, tijdperk ...) en het budget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deel aan audities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Memoriseert de inhoud (dialogen, volgorde van scènes, bedrijven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lichaam en de stem voor op de nodige vaardigheden inzake lichaam, stem, taal en ruimte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Repeteert zijn aandeel in de productie en stelt mogelijke interpretaties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Vertolkt alleen of met medespelers zijn aandeel in de productie voor het publiek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Reflecteert over en verbetert de eigen prestatie en/of de groepsprestatie en communiceert hierover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de promotie en verspreiding naar de media en het publiek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