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Vastgoed assistent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BK-0352-3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Vastgoed assistent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Ondersteunt administratief het verkoop-, verhuur- en/of beheerproces van vastgoed teneinde de gestelde doelstellingen te realiseren en meewerken om het imago van het bedrijf te versterken.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ondersteunend en loyaal t.a.v. de afdeling/organisatie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Digitaliseert, verwerkt en controleert documenten, data 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helder, duidelijk en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opvolging van de activiteit van de organisatie/afdeling en maakt en werkt situatieoverzichten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vergaderingen en stelt verslagen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bedrijfscultuur,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confidentieel om met bedrijfsgerelateerde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werkplek veilig, ordelijk en milieubewust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publiciteit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vergadertechnieken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oplossingsgericht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aard van de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problemen op en signaleert ze in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voor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 binnen het eigen takenpakket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doelgroepgericht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 voor een goede overlegsituatie met de klant/collega’s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klanten en op de samenwerking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Probeert zich in de wensen en problemen van de klant/collega in te leven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Organiseert de onthaalruimte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of regelt decoraties (combinaties, licht- en kleurgebruik, attributen, muziek,…) in opdracht van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Benut de mogelijkheden van de ruimte of de etalage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Verandert de opstelling van de voorwerpen op regelmatige tijdstippen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van promotie- en documentatiemateriaal of attenties op peil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folders, brochure(s), posters,… in de onthaalruimte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en sluit het onthaal en bijhorende ruimtes af volgens de gangbare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onthaal en bijhorende ruimtes bij het afsluiten (licht, alarm en technologie aan- en uitschakelen)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bestellingen uit en volgt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publiciteit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Onthaalt en oriënteert klanten, leveranciers en bezoekers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Verwelkomt, identificeert, registreert klanten en kondigt klanten, leveranciers en bezoekers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notities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taal, gedrag en houding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verbale en non-verbale communicatie om zich verstaanbaar uit te drukken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communicatie aan de noden en verwachtingen van de verschillende doelgroepen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Bezorgt klanten, leveranciers en bezoekers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praktische problemen of vragen in functie van het ontvangen en onthalen van de klanten, leveranciers en bezoekers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met een concreet en relevant antwoord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het invullen van documenten om de wensen na te gaan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hoogdringendheid van een oproep in en probeert dringende gevallen prioriteit te geven en door te sturen naar de betrokken dienst/contactpersoon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ontvangen documenten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Identificeert de vraag van de klanten, leveranciers en bezoekers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klanten, leveranciers en bezoekers uitpraten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ter verduidelijking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op (on)uitgesproken vragen van de klanten, leveranciers en bezoekers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passende opvolging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Informeert personen en verwijst door of begeleidt naar de gevraagde gesprekspartner of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discreet om met informatie over de klanten, leveranciers en bezoekers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Blijft op de hoogte van de organisatie en haar 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basisinformatie over de activiteiten van de organisatie en zoekt, indien nodig, informatie op via beschikbare bronnen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eventueel de klanten, leveranciers en bezoekers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Ontvangt klachten en geeft ze door voor behandeling volgens bedrijf/organisaties eigen procedure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de klanten, leveranciers en bezoekers begrijpen en informeren in een andere 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actief naar de klanten, leveranciers en bezoekers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problemen, knelpunten, klachten en verwijst deze correct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informatie door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in alle omstandigheden de eigen emoties onder controle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Beantwoordt inkomende mails op het info-adres of stuurt deze door naar de aangewezen contactpersoon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gevraagde contactpersoon of, bij afwezigheid, een collega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mail tijdig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eventueel een voorstel van schriftelijk antwoord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Organiseert en voert de administratie van een vastgoedkantoor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prioriteiten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een klanten- en vastgoedportefeuille aan en houdt deze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Antwoordt op prijsaanvragen en infovragen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offertes op en vergelijkt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beheert en volgt administratief vastgoeddossiers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Vervult de bijhorende administratieve formaliteiten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Beheert informatie volgens de procedures van het vastgoedkantoor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het aanbod en houdt deze up-to-date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vastgoedsoftware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de prospectie in (gespecialiseerde) media naar geschikt vastgoed (databanken, internet, kranten, huis-aan-huis bladen,…)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foto- of videomateriaal in affiches, websites,…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advertenties op en plaatst ze in media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controleert gegevens en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vraag en het aanbod op de eigen website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publiciteit</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Ondersteunt in het formaliseren van de makelaarsopdracht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en verifieert de identiteit van de opdrachtgevers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het type, de grootte, de staat en locatie van het onroerend goed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de eigendomstitel op van het onroerend goed bij verkoop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alle wettelijk vereiste documenten en attesten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Geeft uitvoering aan een verkoop/verhuurdossier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gegevens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documenten op voor publicatie (folders,...)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documenten van een verkoop/verhuur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in beperkte mate potentiële kandidaten over onroerende goederen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publiciteit</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Handelt binnen de juridisch omschreven lijnen bij de uitvoering van de taken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procedures uit volgens de vigerende regelgeving en normen voor de vastgoedsector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nodige documenten voor de opmaak van een contract/dossier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binnen de wettelijke kaders voor de opmaak van dossiers en contracten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Geeft eerstelijnsinformatie over de panden die in de portefeuille zitten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Antwoordt op vragen van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klant een eerste indruk over het pand door het geven van informatie over de technische aspecten (ruimte, indeling, staat van het pand,…)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marketingkanalen (sociale media,...)</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Basiskennis van vastgoedrecht, hiertoe onder meer: basiskennis burgerlijk recht en familierecht, basiskennis van de stedenbouwkundige regelgeving, basiskennis van fiscaal recht (registratie-, successieregelgeving e.d.), basiskennis van de wet op de mede-eigendom,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de antiwitwaswetgeving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principes van boekhouden</w:t>
      </w:r>
      <w:r w:rsidRPr="000F2A0A">
        <w:rPr>
          <w:sz w:val="22"/>
        </w:rPr>
        <w:t/>
      </w:r>
    </w:p>
    <w:p w:rsidR="000F2A0A" w:rsidRDefault="000F2A0A" w:rsidP="000F2A0A">
      <w:pPr>
        <w:pStyle w:val="Voetnoot"/>
        <w:numPr>
          <w:ilvl w:val="1"/>
          <w:numId w:val="14"/>
        </w:numPr>
      </w:pPr>
      <w:r w:rsidRPr="000F2A0A">
        <w:rPr>
          <w:sz w:val="22"/>
        </w:rPr>
        <w:t/>
      </w:r>
      <w:r>
        <w:rPr>
          <w:sz w:val="22"/>
        </w:rPr>
        <w:t>Basiskennis van beroepsspecifieke bronnen</w:t>
      </w:r>
      <w:r w:rsidRPr="000F2A0A">
        <w:rPr>
          <w:sz w:val="22"/>
        </w:rPr>
        <w:t/>
      </w:r>
    </w:p>
    <w:p w:rsidR="000F2A0A" w:rsidRDefault="000F2A0A" w:rsidP="000F2A0A">
      <w:pPr>
        <w:pStyle w:val="Voetnoot"/>
        <w:numPr>
          <w:ilvl w:val="1"/>
          <w:numId w:val="14"/>
        </w:numPr>
      </w:pPr>
      <w:r w:rsidRPr="000F2A0A">
        <w:rPr>
          <w:sz w:val="22"/>
        </w:rPr>
        <w:t/>
      </w:r>
      <w:r>
        <w:rPr>
          <w:sz w:val="22"/>
        </w:rPr>
        <w:t>Basiskennis van anti-discriminatie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planlezen</w:t>
      </w:r>
      <w:r w:rsidRPr="000F2A0A">
        <w:rPr>
          <w:sz w:val="22"/>
        </w:rPr>
        <w:t/>
      </w:r>
    </w:p>
    <w:p w:rsidR="000F2A0A" w:rsidRDefault="000F2A0A" w:rsidP="000F2A0A">
      <w:pPr>
        <w:pStyle w:val="Voetnoot"/>
        <w:numPr>
          <w:ilvl w:val="1"/>
          <w:numId w:val="14"/>
        </w:numPr>
      </w:pPr>
      <w:r w:rsidRPr="000F2A0A">
        <w:rPr>
          <w:sz w:val="22"/>
        </w:rPr>
        <w:t/>
      </w:r>
      <w:r>
        <w:rPr>
          <w:sz w:val="22"/>
        </w:rPr>
        <w:t>Basiskennis van toepasselijke wetgeving inzake marktpraktijken en consumentenbescherming</w:t>
      </w:r>
      <w:r w:rsidRPr="000F2A0A">
        <w:rPr>
          <w:sz w:val="22"/>
        </w:rPr>
        <w:t/>
      </w:r>
    </w:p>
    <w:p w:rsidR="000F2A0A" w:rsidRDefault="000F2A0A" w:rsidP="000F2A0A">
      <w:pPr>
        <w:pStyle w:val="Voetnoot"/>
        <w:numPr>
          <w:ilvl w:val="1"/>
          <w:numId w:val="14"/>
        </w:numPr>
      </w:pPr>
      <w:r w:rsidRPr="000F2A0A">
        <w:rPr>
          <w:sz w:val="22"/>
        </w:rPr>
        <w:t/>
      </w:r>
      <w:r>
        <w:rPr>
          <w:sz w:val="22"/>
        </w:rPr>
        <w:t>Basiskennis van de beroepsreglementering en plichtenleer</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Faciliteert een pandbezoek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afspraken met de eigenaars, bezoekers, derden voor het bezoek aan een pand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een datum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betrokken partijen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Bij (agenda)wijzigingen de betrokkenen informeren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initiatieven om afspraken te verplaatsen, derden te verwittigen,...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Ondersteunt administratief het vastgoedbeheer voor private eigendommen of gemeenschappelijke delen van een gebouw</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alle administratieve gegevens van private eigendommen of de vereniging van mede-eigendom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gegevens op bij instanties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dossiers per gebouw of private eigendom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Vervolledigt en past het dossier aan tijdens de beheersopdracht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van offertes op en vergelijkt deze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omtrent het beheer van vastgoed, ter ondersteuning van een rentmeester of syndicus</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huurwetgeving</w:t>
      </w:r>
      <w:r w:rsidRPr="000F2A0A">
        <w:rPr>
          <w:sz w:val="22"/>
        </w:rPr>
        <w:t/>
      </w:r>
    </w:p>
    <w:p w:rsidR="000F2A0A" w:rsidRDefault="000F2A0A" w:rsidP="000F2A0A">
      <w:pPr>
        <w:pStyle w:val="Voetnoot"/>
        <w:numPr>
          <w:ilvl w:val="1"/>
          <w:numId w:val="14"/>
        </w:numPr>
      </w:pPr>
      <w:r w:rsidRPr="000F2A0A">
        <w:rPr>
          <w:sz w:val="22"/>
        </w:rPr>
        <w:t/>
      </w:r>
      <w:r>
        <w:rPr>
          <w:sz w:val="22"/>
        </w:rPr>
        <w:t>Kennis van het vakjargon van de vastgoedsector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Werkt samen in een team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in multidisciplinair verband samen met beroepsactoren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bij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uitvoering van eigen opdrachten met de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voorstellen en vragen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Realiseert een aangenaam werkklimaat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timemanagement</w:t>
      </w:r>
      <w:r w:rsidRPr="000F2A0A">
        <w:rPr>
          <w:sz w:val="22"/>
        </w:rPr>
        <w:t/>
      </w:r>
    </w:p>
    <w:p w:rsidR="000F2A0A" w:rsidRDefault="000F2A0A" w:rsidP="000F2A0A">
      <w:pPr>
        <w:pStyle w:val="Voetnoot"/>
        <w:numPr>
          <w:ilvl w:val="1"/>
          <w:numId w:val="14"/>
        </w:numPr>
      </w:pPr>
      <w:r w:rsidRPr="000F2A0A">
        <w:rPr>
          <w:sz w:val="22"/>
        </w:rPr>
        <w:t/>
      </w:r>
      <w:r>
        <w:rPr>
          <w:sz w:val="22"/>
        </w:rPr>
        <w:t>Kennis van vergadertechnieken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vastgoedkantoor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standaardteksten over vastgoed thema’s begrijpen, eenvoudige gesprekken over vastgoed thema’s kunnen voeren, een eenvoudige tekst over vastgoed thema’s kunnen opstellen, een eenvoudige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timemanagement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vergadertechnieken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marketingkanalen (sociale media,...)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publiciteit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omtrent het beheer van vastgoed, ter ondersteuning van een rentmeester of syndicus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vastgoedrecht, hiertoe onder meer: basiskennis burgerlijk recht en familierecht, basiskennis van de stedenbouwkundige regelgeving, basiskennis van fiscaal recht (registratie-, successieregelgeving e.d.), basiskennis van de wet op de mede-eigendom,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antiwitwaswetgeving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boekhouden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beroepsspecifieke bronnen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anti-discriminatie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planlezen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toepasselijke wetgeving inzake marktpraktijken en consumentenbescherming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beroepsreglementering en plichtenleer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digitaliseringstechnieken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huurwetgeving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vakjargon van de vastgoedsector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een vastgoedkantoor</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Digitaliseert, verwerkt en controleert documenten, data 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helder, duidelijk en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opvolging van de activiteit van de organisatie/afdeling en maakt en werkt situatieoverzichten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vergaderingen en stelt verslagen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bedrijfscultuur, 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confidentieel om met bedrijfsgerelateerde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werkplek veilig, ordelijk en milieubewust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problemen op en signaleert ze in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 voor een goede overlegsituatie met de klant/collega’s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Probeert zich in de wensen en problemen van de klant/collega in te leven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of regelt decoraties (combinaties, licht- en kleurgebruik, attributen, muziek,…) in opdracht van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Benut de mogelijkheden van de ruimte of de etalage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de opstelling van de voorwerpen op regelmatige tijdstippen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van promotie- en documentatiemateriaal of attenties op peil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folders, brochure(s), posters,… in de onthaalruimte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Opent en sluit het onthaal en bijhorende ruimtes af volgens de gangbare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onthaal en bijhorende ruimtes bij het afsluiten (licht, alarm en technologie aan- en uitschakelen)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bestellingen uit en volgt ze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Verwelkomt, identificeert, registreert klanten en kondigt klanten, leveranciers en bezoekers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notities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taal, gedrag en houding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verbale en non-verbale communicatie om zich verstaanbaar uit te drukken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communicatie aan de noden en verwachtingen van de verschillende doelgroepen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Bezorgt klanten, leveranciers en bezoekers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praktische problemen of vragen in functie van het ontvangen en onthalen van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met een concreet en relevant antwoord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het invullen van documenten om de wensen na te gaan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hoogdringendheid van een oproep in en probeert dringende gevallen prioriteit te geven en door te sturen naar de betrokken dienst/contactpersoon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ontvangen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 klanten, leveranciers en bezoekers uitpraten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discreet om met informatie over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de organisatie en haar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Verstrekt basisinformatie over de activiteiten van de organisatie en zoekt, indien nodig, informatie op via beschikbare 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eventueel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de klanten, leveranciers en bezoekers begrijpen en informeren in een andere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naar de klanten, leveranciers en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problemen, knelpunten, klachten en verwijst deze correct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gevraagde contactpersoon of, bij afwezigheid,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de mail tijdig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eventueel een voorstel van schriftelijk antwoord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prioriteiten binnen het eigen takenpakket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klanten- en vastgoedportefeuille aan en houdt deze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Antwoordt op prijsaanvragen en infovragen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offertes op en vergelijkt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beheert en volgt administratief vastgoeddossiers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Vervult de bijhorende administratieve formaliteiten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het aanbod en houdt deze up-to-date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vastgoedsoftware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de prospectie in (gespecialiseerde) media naar geschikt vastgoed (databanken, internet, kranten, huis-aan-huis bladen,…)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foto- of videomateriaal in affiches, websites,…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advertenties op en plaatst ze in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controleert gegevens en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vraag en het aanbod op de eigen website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en verifieert de identiteit van de opdrachtgevers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het type, de grootte, de staat en locatie van het onroerend 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de eigendomstitel op van het onroerend goed bij verkoop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wettelijk vereiste documenten en attesten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gegevens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documenten op voor publicatie (folders,...)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documenten van een verkoop/verhuur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in beperkte mate potentiële kandidaten over onroerende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procedures uit volgens de vigerende regelgeving en normen voor de vastgoedsector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nodige documenten voor de opmaak van een contract/dossier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binnen de wettelijke kaders voor de opmaak van dossiers en contracten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Antwoordt op vragen van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klant een eerste indruk over het pand door het geven van informatie over de technische aspecten (ruimte, indeling, staat van het pand,…)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afspraken met de eigenaars, bezoekers, derden voor het bezoek aan een pand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datum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betrokken partijen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Bij (agenda)wijzigingen de betrokkenen informeren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administratieve gegevens van private eigendommen of de vereniging van mede-eigendom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gegevens op bij instanties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dossiers per gebouw of private eigendom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Vervolledigt en past het dossier aan tijdens de beheersopdracht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van offertes op en vergelijkt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in multidisciplinair verband samen met beroepsactoren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bij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eigen opdrachten met 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voorstellen en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Realiseert een aangenaam werkklimaat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Inventariseert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aard van 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naar oplossingen om problemen te voorkomen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situatie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vragen ter verduidelijking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op (on)uitgesproken vragen van de klanten, leveranciers en bezoekers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een passende opvolging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in alle omstandigheden de eigen emoties onder controle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de nodige initiatieven om afspraken te verplaatsen, derden te verwittigen,...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bepalen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hoofdzakelijk uitgeoefend in een dag-systeem maar soms ook ’s avonds en in het weekend. Flexibiliteit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beheren van dossiers vergt flexibiliteit en kan zorgen voor afwijkende 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Individuele vragen kunnen een persoonlijke aanpak en verwerking eisen.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zich onthouden aan de taken die niet tot het eigen takenpakket behoren.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teamverband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oefent het beroep uit in contact met klanten en stemt het werk af op de wensen van de klant.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ethisch en integer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de geldende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personeel, (potentiële)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empathisch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dossiers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initiatief tonen en blijk geven van doorzettingsvermogen en verantwoordelijkheidszin.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steeds een oplossingsgerichte ingesteldheid hebben.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nauwkeurig uitvoeren en controleren van eigen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de uitvoering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wijze waarop de taken wordt uitgevoerd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zelf oplossen van problemen en onregelmatigheden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melden van problemen aan de verantwoordelijke indien deze niet zelf op te lossen 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beantwoorden van vragen die tot zijn takenpakket/bevoegdheid behoren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voeren van efficiënt communicatie met leidinggevende(n), collega’s, personeel, (potentiële) klanten.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beheren van dossiers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oplossingsgericht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doelgroepgericht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 een zakelijke manier handelen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ontwikkelen van de eigen deskundigheid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onthalen van klanten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een aantal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bepaalde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klanten en collega’s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en de mogelijkheden van klanten en collega's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voor het inwinnen van informatie over de te volgen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voor het inwinnen van informatie over de aanpak van bepaalde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voor het inwinnen van informatie om taken af te kunnen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externen om informatie in te winnen  of documenten op te vragen (boekhouders, notaris, gemeentelijke diensten,…)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indien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ondersteunend en loyaal t.a.v. de afdeling/organisatie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onthaalruimte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en oriënteert klanten, leveranciers en bezoekers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Identificeert de vraag van de klanten, leveranciers en bezoekers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personen en verwijst door of begeleidt naar de gevraagde gesprekspartner of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klachten en geeft ze door voor behandeling volgens bedrijf/organisaties eigen procedure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Beantwoordt inkomende mails op het info-adres of stuurt deze door naar de aangewezen contactpersoon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en voert de administratie van een vastgoedkantoor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informatie volgens de procedures van het vastgoedkantoor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in het formaliseren van de makelaarsopdracht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uitvoering aan een verkoop/verhuurdossier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binnen de juridisch omschreven lijnen bij de uitvoering van 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eerstelijnsinformatie over de panden die in de portefeuille zitten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Faciliteert een pandbezoek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administratief het vastgoedbeheer voor private eigendommen of gemeenschappelijke delen van een gebouw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in een team</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