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0261</w:t>
      </w:r>
      <w:r>
        <w:t>)</w:t>
      </w:r>
    </w:p>
    <w:p w:rsidR="003B07E1" w:rsidRDefault="003B07E1" w:rsidP="003B07E1">
      <w:pPr>
        <w:pStyle w:val="DossierTitel"/>
      </w:pPr>
      <w:r>
        <w:t>Omsteller verspaning</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Omsteller verspaning</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omsteller verspaning legt de verspanings-en gereedschapsvoorwaarden vast, definieert de hulpgereedschappen en bewerkt stukken door het wegnemen van materie met conventionele machines, CNC-machines of bewerkingscentra teneinde een performant proces te bekomen en stukken uit diverse materiaalsoorten (ferro, non-ferro en kunststoffen) te vervaardigen volgens volumetrische specificaties (3D).</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02029)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en aanwijzingen uit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en 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aandachtspunten mee aan de instellers of operatoren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werkdocumenten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werkdocumenten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werkzaamheden over aan het volgende team</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taken volgens de gegeven opdracht (co 02030)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de doelstelling van de opdracht, de tekening en de aangereikte basisinformatie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zijn eigen werkvolgorde en stuurt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02005)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en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correct met hef- en hijswerktuigen volgens voorschriften (aanslaan en uitwijzen van kritische lasten)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beschermt het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gepaste maatregelen volgens de veiligheidsvoorschriften bij ongevallen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gereedschappen en materiaal voor opslag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gereedschappen in functie van het materiaal (ferro, non-ferro en kunststoffen) (co 02031)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gereedschappen in functie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opspangereedschappen en 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meetinstrumenten en kalibers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de gereedschappen na op zichtbare gebreken en degelijkheid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de verschillende bewerkingsfases en de afstelwaarden (tolerantie, positie, oppervlaktestaat, ...) van het stuk en het gereedschap in functie van het materiaal (ferro, non-ferro en kunststoffen) (co 02054)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interpreteert de constructie –en detailtekening naar soorten bewerkingen, volgorde en kritische maatvoering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bewerkingsvolgorde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werkvolgorde af op de opeenvolgende bewerkingen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verspaningscondities en parameters op basis van de technische informatie of stuurt opgegeven verspaningscondities en parameters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documentatie op ter aanvulling van de aangeleverde technische informatie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een bewerkingsprogramma op, stelt het op punt of wijzigt het in functie van het materiaal (ferro, non-ferro en kunststoffen) (co 02055)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Tekent het opspangereedschap uit of bepaalt het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Wijzigt of schrijft een CNC-programma op basis van de technische informatie om een performanter programma te krijgen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Koppelt het aangepast programma terug naar engineering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herstelt programmeerfouten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Wijzigt de programmatie wanneer de werkstukken niet voldoen aan de technische specificaties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gereedschappen in  (co 02056)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gereedschappen in functie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gereedschappen in de gereedschapsopspanning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afregeling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een simulatie uit (co 02057)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stappen van de uitvoeringssimulatie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controlestappen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Wijzigt programmastappen en/of parameters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bij (bewerkingsvolgorde, snijcondities, snijgereedschappen, opspanmethode,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bij het bereiken van de optimale bewerkingsvoorwaarden alle gegevens vast in werkdocumenten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Past snijgereedschappen, lemmeten … aan of slijpt ze in functie van het materiaal (ferro, non-ferro en kunststoffen) (co 02058)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nodige verspanende metaalbewerkingen uit (boren, schuren, slijpen, …) om het snijgereedschap te kunnen maken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tussentijds metingen en controles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Monteert de snijgereedschappen en stelt ze af (co 02033)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of plaatst de snijgereedschappen in de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snijgereedschappen af (uitlijnen, balanceren,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Monteert opspanmiddelen  (co 02034)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en bevestigt de opspanmiddelen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opspanmiddelen af (richten, uitlijnen, positioneren)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Positioneert het stuk en zet het vast (co 02035)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hijsmaterieel (rolbrug, takel, hijsband, …) voor het verplaatsen van zware stukken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Spant een werkstuk op de machine volgens werkinstructies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bewerkingsparameters in volgens instructies en technisch dossier (co 02047)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 het programma bij gebruik van een CNC-gestuurde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nulpunt in bij gebruik van een CNC-gestuurde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werkstuk, al of niet stap voor stap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controlemetingen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op basis van de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Boort en draait stukken  (co 02048)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toegewezen werktuigmachine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controlemetingen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in functie van de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Slijpt stukken (co 02049)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toegewezen werktuigmachine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controlemetingen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in functie van de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Freest stukken (co 02050)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toegewezen werktuigmachine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controlemetingen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in functie van de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Kottert en hoont stukken (co 02051)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toegewezen werktuigmachine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controlemetingen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in functie van de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Bewerkt stukken op een CNC-bewerkingscenter  (co 02052)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het toegewezen CNC-bewerkingscenter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controlemetingen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bij in functie van de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nabewerkingen uit (co 02053)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af volgens de instructies (ontvetten, rechten, beschermen,…)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productiegegevens (co 02040)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productiehoeveelheden en werktijden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meetresultaten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productiestilstanden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preventief basisonderhoud uit aan machines of uitrustingen   (co 02041)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eenvoudige onderhoudswerkzaamheden uit (reinigen, smeren, onderdelen vervangen,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 (sleutel, tang,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Merkt storingen aan een machine op en voert aanpassingen door (co 02042)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storing of afwijking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die niet zelf op te lossen zijn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gereedschappen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machineonderdelen of parameters bij na de interventie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hulp en advies aan onderhoudstechnici bij problemen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 gezondheids-, hygiëne- en welzijnsvoorschriften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opbouw en werking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nevenprocessen (rechten, vlakken, drogen of conditioneren)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productmechanica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(ferro, non-ferro, kunststof)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 van werktuigmachines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 process-meettechnieken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SPC-technieken (statistical process control)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ruwheidsmeetmethodes en meetinstrumenten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smeermiddelen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koelmiddelen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driehoeksmeetkunde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een technisch dossier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technische tekeningen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eigenschappen van metaalsoorten en legeringen (ferro en non-ferro)</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eigenschappen van kunststoffen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procesparameters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gereedschappen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CNC-programmeertalen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verspaningsstechnieken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assen (x-y-z-c-b)</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opspangereedschappen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opspanmethodes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maat-en vorm en plaatstoleranties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oppervlaktegesteldheid van de materialen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meetinstrumenten en meetmethodes (2D en 3D)</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en aanwijzingen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en efficiënt samenwerken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meegeven van aandachtspunten aan de instellers of operatoren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aanwijzingen van verantwoordelijken het kunnen rapporteren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werkdocumenten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werkdocumenten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overdragen van de werkzaamheden aan het volgende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treffen van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doelstelling van de opdracht, de tekening en de aangereikte basisinformatie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en bijsturen van zijn eigen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zich kunnen houden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zuinig om kunnen gaan met materialen, gereedschappen, tijd en het kunnen vermijden van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zich kunnen houden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correct kunnen werken met hef- en hijswerktuigen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en beschermen van  het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gebruiken van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nemen van gepaste maatregelen volgens de veiligheidsvoorschriften bij ongevallen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of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gereedschappen in functie van het materiaal (ferro, non-ferro en kunststoffen)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gereedschappen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nakijken van  de gereedschappen op zichtbare gebreken en degelijkheid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interpreteren van de constructie –en detailtekening naar soorten bewerkingen, volgorde en kritische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bewerkingsvolgorde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werkvolgorde op de opeenvolgende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verspaningscondities en parameters op basis van de technische informatie of het kunnen bijsturen van de opgegeven verspaningscondities en parameters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de documentatie ter aanvulling van de aangeleverde technische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uittekenen of bepalen van het opspangereedschap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schrijven of wijzigen van een CNC-programma op basis van de technische informatie om een performanter programma te krijgen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terugkoppelen van het aangepast programma naar engineering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herstellen van programmeerfouten of het kunnen wijzigen van  de programmatie wanneer de werkstukken niet voldoen aan de technische specificaties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gereedschappen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afregeling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stappen van de uitvoeringssimulatie en de controlestappen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wijzigen van de programmastappen en/of parameters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bijsturen van de bewerkingsvolgorde, snijcondities, snijgereedschappen, opspanmethode,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alle gegevens in werkdocumenten  bij het bereiken van de optimale bewerkingsvoorwaarden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tussentijdse metingen en controles bij het aanpassen van snijgereedschap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opladen van het programma en instellen van  het nulpunt bij gebruik van een CNC-gestuurde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manueel of computergestuurd kunnen instellen van de parameters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controlemetingen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bijstellen van parameters op basis van de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(stapsgewijs) kunnen maken van een werkstuk  door boren, draaien, slijpen, kotteren en honen: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controlemetingen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bijstellen van parameters in functie van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productiehoeveelheden, werktijden, meetresultaten en productiestilstanden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zich kunnen houden aan het onderhoudsplan en –richtlijnen voor preventief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bijregelen van  machineonderdelen of parameters  na interventie bij een storing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stilleggen van de productie bij storing van de machine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nagaan wat de oorzaak is van een storing of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problemen die niet zelf op te lossen zijn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verlenen van hulp en advies aan onderhoudstechnici bij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verbeteren van de performantie van het proces verbeteren op basis van informatie van operatoren (instellers)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verzamelen van gereedschappen en materiaal voor opslag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het op een veilige en efficiënte manier kunnen gebruiken van gereedschappen, hulpgereedschappen, opspangereedschappen, meetgereedschappen en kalibers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de 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gereedschappen in de gereedschapsopspanning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nodige verspanende metaalbewerkingen uit (boren, schuren, slijpen, …) om het snijgereedschap te kunnen maken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bevestigen of plaatsen van de snijgereedschappen in de 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afstellen van de snijgereedschappen en opspanmiddelen (uitlijnen, balanceren,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hijsmaterieel (rolbrug, takel, hijsband, …) voor het verplaatsen van zware stukken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opspannen van een werkstuk op de machine volgens werkinstructies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het (stapsgewijs) kunnen maken van een werkstuk  door boren, draaien, slijpen, kotteren en honen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toegewezen werktuigmachine of het CNC-bewerkingscenter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nabewerkingen volgens de instructies (ontvetten, rechten, beschermen,…)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eenvoudige onderhoudswerkzaamheden  (reinigen, smeren, onderdelen vervangen,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handgereedschap (sleutel, tang,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gereedschappen bij een storing van de machine</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omsteller verspaning is ruim verspreid in de verwerkende industrie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omsteller verspaning  voert verspanende bewerkingen uit in een industrieel bedrijf. Hij moet zware lasten kunnen aanslaan.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de werkzaamheden wordt bepaald door de nodige materialenkennis,  soorten van materialen, kennis van soorten gereedschappen, het soort van product,  de inzetbaarheid van machines de normen waaraan het product moet voldoen.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meestal in team uitgeoefend, waarbij de nodige flexibiliteit belangrijk is om zich aan te passen aan wijzigingen van planning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veel reglementeringen, normen, aanbevelingen, codes van goede praktijk en technische voorlichtingsfiches inzake kwaliteit, veiligheid, gezondheid, hygiëne, welzijn en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Typische risico’s zijn snij-en brandwonden, oogwonden, het niet correct behandelen van lasten, en elektrostatische lading bij kunststoffen.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omsteller verspaning heeft oog  voor de kwaliteit van zijn werk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en oplossingen aan te reiken aan de operatoren.  Hij moet over de nodige overtuigingskracht beschikken om ervoor te zorgen dat operatoren de voorgestelde oplossingen daadwerkelijk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bij het dragen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gevaarlijke situaties, respecteert veiligheidssignalisatie, PBM’s en CBM’s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gaat omzichtig om met grondstoffen en producten, rekening houdend met veiligheids-, en milieuvoorschriften.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gepaste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taken volgens de gegeven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verschillende bewerkingsfases en afstelwaarden van het stuk of gereedschap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op punt stellen en wijzigen van het bewerkingsprogramma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simulatie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voorbereidende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maken van stukken of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registeren van productiehoeveelheden, werktijden, meetresultaten en productiestilstanden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preventief basisonderhoud aan machines en uitrustingen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oplossen van storingen en doorvoeren van aanpassingen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regels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samenwerking met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aanwijzingen van verantwoordelijken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technisch 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rapporteren van productiegegevens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specialist bij problemen die hij niet zelf krijgt opgelost of bij werkzaamheden die buiten zijn bevoegdheid 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onderhoudstechnici bij onderhoudswerken die hij zelf niet kan uitvoeren of storingen die hij zelf niet kan oplossen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volgen van de dagplanning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gepaste gereedschappen in functie van het gebruikte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verschillende bewerkingsfases en afstelwaarden van het stuk of gereedschap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op punt stellen en wijzigen van het bewerkingsprogramma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simulatie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werkzaamheden: snijgereedschappen monteren en afstellen, opspanmiddelen monteren, een werkstuk positioneren en vastzetten en bewerkingsparameters instellen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werkzaamheden: stukken boren, draaien, frezen, kotteren, honen en stukken bewerken op een CNC-bewerkingscentrum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nabewerkingen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van productiegegevens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preventief basisonderhoud aan machines en uitrustingen die hij gebruikt bij het uitvoeren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oplossen van storingen of doorvoeren van aanpassingen aan machines die hij gebruikt bij het uitvoeren van de werkzaamheden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