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0243</w:t>
      </w:r>
      <w:r>
        <w:t>)</w:t>
      </w:r>
    </w:p>
    <w:p w:rsidR="003B07E1" w:rsidRDefault="003B07E1" w:rsidP="003B07E1">
      <w:pPr>
        <w:pStyle w:val="DossierTitel"/>
      </w:pPr>
      <w:r>
        <w:t>Zorgkundige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Zorgkundige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"J150101 Zorgkundige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zorgkundige volgt onder toezicht van een verpleegkundige  de gezondheidstoestand van de cliënt  op, begeleidt deze bij de activiteiten van het dagelijks leven en staat in voor lichaamsverzorging, comfortzorg, preventie, gezondheidsopvoeding en logistieke ondersteuning teneinde de cliënt op efficiënte en kwaliteitsvolle wijze te ondersteunen en te verzorgen, waarbij rekening gehouden wordt met zijn/haar welzijn.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2016</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algemene activiteiten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volgens de wettelijke reglementeringen en procedure(s)  (co 02066)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zorg binnen de grenzen van het wetgevende en professionele kader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afspraken en visie van de organisatie en actuele evidence based protocollen (veiligheid, toezicht naleven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gedelegeerde handelingen uit die aansluiten bij zijn/haar competentieniveau en wettelijk beroepsdomein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Handelt volgens de professionele gedragscode  (co 02067)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de professionele (gedrags-)code (beroepsgeheim, privacy van de cliënt, scheiding beroepscontext-privé,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professionele zorgrelatie op empathische wijze op met respect voor de medische, fysieke, sociale, culturele en spirituele achtergrond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Creëert een veilige omgeving voor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Benadert de cliënt op holistische wijze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Toont een groot verantwoordelijkheidszin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zakelijke omgangsvormen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persoonlijke hygiëne en zorgt voor een verzorgd voorkomen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Waarborgt de zorg aan de hand van de kwaliteitsnormen  (co 02068)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een systematische aanpak voor het oplossen van problemen in alle mogelijke professionele situaties binnen de grenzen van de eigen bevoegdheid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zorg conform de professionele aanbevelingen, de (evidence based) protocollen en institutionele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de basisprincipes* (hygiëne en aseptie, comfort, beleving, zelfzorg en inspraak, veiligheid, ergonomie, economie en ecologie)</w:t>
      </w:r>
      <w:r w:rsidRPr="00127D6A">
        <w:rPr>
          <w:rFonts w:cstheme="minorHAnsi"/>
          <w:color w:val="FF0000"/>
        </w:rPr>
        <w:t/>
      </w:r>
    </w:p>
    <w:p w:rsidR="002C5C20" w:rsidRPr="002C5C20" w:rsidRDefault="002C5C20" w:rsidP="002C5C20">
      <w:pPr>
        <w:pStyle w:val="Voetnoot"/>
      </w:pPr>
      <w:r w:rsidRPr="00362EDF">
        <w:t/>
      </w:r>
      <w:r w:rsidRPr="006D6AE0">
        <w:br/>
        <w:t>*Verpleegkundige basisprincipes van Prof. Grypdonck, 1987 volgens deze basisprincipes ( hygiëne en aseptie, comfort, zelfzorg en inspraak, beleving, veiligheid, ergonomie, economie en ecologie) wordt in de zorgverlening gewerkt</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met het interdisciplinair*  team  (J150101 Id17297-c)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een efficiënte communicatie met andere zorgverleners om zorgoverdracht te optimaliseren waarbij hij/zij een respectvolle houding aanneemt, luistert en samen werkt met de andere teamleden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de algemene zorg van de cliënt met andere zorgververleners (arts, verpleegkundige, (interdisciplinair) 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Verwoordt de bezorgdheden en noden van de cliënten* en/of zorgverleners bij de besluitvorming van het interdisciplinair 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de continuïteit van de (interdisciplinaire) zorgverlening of de interdisciplinaire samenwerking in het kader van de zorgprocessen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Kent de taken en rollen van andere disciplines in de zorgsector en weet wanneer op wie een beroep gedaan kan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in het interdisciplinair team aan preventie-acties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patiëntengegevens met andere zorgverleners via elektronische of digitale netwerken</w:t>
      </w:r>
      <w:r w:rsidRPr="00127D6A">
        <w:rPr>
          <w:rFonts w:cstheme="minorHAnsi"/>
          <w:color w:val="FF0000"/>
        </w:rPr>
        <w:t/>
      </w:r>
    </w:p>
    <w:p w:rsidR="002C5C20" w:rsidRPr="002C5C20" w:rsidRDefault="002C5C20" w:rsidP="002C5C20">
      <w:pPr>
        <w:pStyle w:val="Voetnoot"/>
      </w:pPr>
      <w:r w:rsidRPr="00362EDF">
        <w:t/>
      </w:r>
      <w:r w:rsidRPr="006D6AE0">
        <w:br/>
        <w:t>*Interdisciplinair team: er zijn in een team een veelheid aan disciplines aanwezig, waarbij de zorgverleners van elke beroepsgroep zowel eigen taken heeft als taken die ze gemeenschappelijk hebben met andere beroepsgroepen</w:t>
      </w:r>
      <w:r>
        <w:br/>
      </w:r>
      <w:r>
        <w:t>*Cliënt: is in dit dossier een algemene term om de verschillende personen (patiënt, mantelzorger, zorgvrager, kind en/of ouders, bewoner, wettelijke vertegenwoordiger, sociaal netwerk cliënt, ,  …) en/of groepen (organisatie, doelgroep…) die een hulpvraag/-behoefte hebben te benoemen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met de cliënt en communiceert professioneel binnen een cliëntgerichte zorgrelatie (J150101 Id14037-c/38677-c)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op empathische wijze om met de cliënt waarbij de nodige afstand bewaard wordt om een professionele relatie te behouden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afspraken met de cliënt aangaande de uitvoering van de hulpvraag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actief zonder een waardeoordeel te vellen, rekening houdend met de geschiedenis en eigenheid van de cliënt en vergewist zich ervan dat hij/zij de cliënt correct begrepen heeft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zijn/ haar taalgebruik aan in functie van de cliënt, zowel naar inhoud als naar vorm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advies en informatie aan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en begeleidt de cliënt in moeilijke momenten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cliënt bij vragen rond levenskwaliteit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Is in staat adequaat om te gaan met agressie, grensoverschrijdend gedrag vanwege de cliënt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en bevordert empowerment* en zelfredzaamheid van de cliënt  (J150101 Id17979-c)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in overleg met de cliënt de zelfredzaamheidsdoelen en voert ze uit conform het zorgplan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aangereikte methoden (hulpmiddelen, paramedische adviezen, gesprekstechnieken, …) toe om zelfredzaamheid van de cliënt te ondersteunen, te versterken of te herstellen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en ondersteunt de draagkracht en draaglast van de cliënt en zijn omgeving binnen de individuele zorg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weerstanden van de cliënt en gaat hier mee om</w:t>
      </w:r>
      <w:r w:rsidRPr="00127D6A">
        <w:rPr>
          <w:rFonts w:cstheme="minorHAnsi"/>
          <w:color w:val="FF0000"/>
        </w:rPr>
        <w:t/>
      </w:r>
    </w:p>
    <w:p w:rsidR="002C5C20" w:rsidRPr="002C5C20" w:rsidRDefault="002C5C20" w:rsidP="002C5C20">
      <w:pPr>
        <w:pStyle w:val="Voetnoot"/>
      </w:pPr>
      <w:r w:rsidRPr="00362EDF">
        <w:t/>
      </w:r>
      <w:r w:rsidRPr="006D6AE0">
        <w:br/>
        <w:t>* Empowerment is een proces van zelfversterking dat cliënten een actieve rol geeft in hun eigen zorgproces en leven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deskundigheid  (co 01052)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Schoolt zich professioneel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Vindt vormingsorganisaties en – programma’s terug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Reflecteert over het eigen handelen en stuurt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open voor en gaat constructief om met feedback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op constructieve wijze om met de grenzen van zijn beroepsdomein in functie van zijn eigen competenties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hulp in van het interdisciplinaire team indien noodzakelijk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kennis uit met alle zorgverleners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taal die men in het kader van het beroep hanteert op voldoende deskundige wijze zowel mondeling als schriftelijk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Presteert onder druk, tijdens of na tegenslag of teleurstelling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Draagt bij tot de ontwikkeling van het beroep  (co 02069)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actuele (evidence based*) ontwikkelde protocollen binnen de organisatie/voorziening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toegewezen stagiair op en schept een gunstige leerklimaat in functie van de leerdoelen en leermogelijkheden van de stagiair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Fungeert als rolmodel voor de stagiair in opleiding</w:t>
      </w:r>
      <w:r w:rsidRPr="00127D6A">
        <w:rPr>
          <w:rFonts w:cstheme="minorHAnsi"/>
          <w:color w:val="FF0000"/>
        </w:rPr>
        <w:t/>
      </w:r>
    </w:p>
    <w:p w:rsidR="002C5C20" w:rsidRPr="002C5C20" w:rsidRDefault="002C5C20" w:rsidP="002C5C20">
      <w:pPr>
        <w:pStyle w:val="Voetnoot"/>
      </w:pPr>
      <w:r w:rsidRPr="00362EDF">
        <w:t/>
      </w:r>
      <w:r w:rsidRPr="006D6AE0">
        <w:br/>
        <w:t>*Evidence based is het gewetensvol, expliciet en oordeelkundig gebruik van het huidige beste bewijsmateriaal om cliënten te verzorgen.</w:t>
      </w:r>
      <w:r w:rsidRPr="006D6AE0">
        <w:br/>
      </w: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zorg aan de persoon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en organiseert de zorg van de cliënt conform het zorgplan  (co 02070)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individuele zorgbehoeften in, binnen zijn bevoegdheden, aan de hand van de gegevens verkregen uit verschillende bronnen (zorgdossier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individuele zorgprioriteiten in samenwerking met de verpleegkundige en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het zorgplan op reguliere basis, in samenwerking met andere leden van het zorgteam en met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efficiënt en op systematische wijze (stappen van probleemoplossing) de individuele zorg van de cliënten conform het individuele zorgplan rekening houdend met de prioriteiten, de continuïteit van de zorg, geplande onderzoeken, tijdsbesteding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de basiszorg uit volgens het zorgplan van de cliënt met ADL-dysfunctie  (J150101 Id17979-c/7923-c)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basiszorg (zorg en nazorg) en past deze aan in functie van de individuele noden en gewoonten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kwalitatieve basiszorg in de verschillende zorgcontexten uit volgens de door de verpleegkundige opgestelde zorgplanningen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basiszorg op structurele en systematische wijze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Observeert en herkent de veranderingen (psychisch, fysiek, sociaal…) in de gezondheidstoestand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het algemeen comfort en de veiligheid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al het materiaal op en laat de kamer/leefruimte netjes achter rekening houdend met de verwachtingen en mogelijkheden van de cliënt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de basiszorg en gedelegeerde verpleegkundige handelingen*  uit volgens de richtlijnen en onder supervisie van de verpleegkundige aan een cliënt met ADL-disfunctie  (J150101 Id17759-c/25378-c/38663-c)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basiszorg conform de professionele en organisatorische procedures en past deze aan in functie van de individuele noden en gewoonten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kwalitatieve zorg uit volgens het zorgplan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gedelegeerde verpleegkundige handelingen uit binnen de toegestane wetgevende bepalingen en binnen een gestructureerde equipe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basiszorg op structurele en systematische wijze uit bij de verschillende doelgroepen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het algemeen comfort en de veiligheid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Biedt comfortzorg bij de toegewezen palliatieve en terminale zorg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de laatste zorg toe aan de overleden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al het materiaal op en laat de kamer/leefruimte netjes achter, rekening houdend met de verwachtingen en mogelijkheden van de cliënt</w:t>
      </w:r>
      <w:r w:rsidRPr="00127D6A">
        <w:rPr>
          <w:rFonts w:cstheme="minorHAnsi"/>
          <w:color w:val="FF0000"/>
        </w:rPr>
        <w:t/>
      </w:r>
    </w:p>
    <w:p w:rsidR="002C5C20" w:rsidRPr="002C5C20" w:rsidRDefault="002C5C20" w:rsidP="002C5C20">
      <w:pPr>
        <w:pStyle w:val="Voetnoot"/>
      </w:pPr>
      <w:r w:rsidRPr="00362EDF">
        <w:t/>
      </w:r>
      <w:r w:rsidRPr="006D6AE0">
        <w:br/>
        <w:t>*Voert als zorgkundige de verpleegkundige activiteiten uit conform het ‘K.B. van 12 januari 2006  besluit tot vaststelling van de  verpleegkundige activiteiten die de zorgkundigen mogen uitvoeren en de voorwaarden waaronder de zorgkundigen deze handelingen mogen stellen’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preventieve maatregelen ter voorkoming van primaire, secundaire en tertiaire letsels tijdens de basiszorg  (J150101 Id7923-c)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Inventariseert de risicofactoren voor primaire, secundaire en tertiaire letsels bij cliënten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nodige maatregelen toe ter voorkoming van primaire, secundaire en tertiaire letsels bij cliënten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nodige maatregelen toe om infecties en besmettingen te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over het treffen van preventieve maatregelen (hulpmiddelen, ondersteunende middelen,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het aanwenden van preventiemiddelen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cliënten met een verhoogd risico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voorstellen voor het aanpassen van de leefruimte om de veiligheid en ergonomie te verhogen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EHBO uit bij noodsituaties  (co 02071)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levensbedreigende situaties en grijpt in conform de voorgeschreven procedure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veiligheid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Alarmeert interne verantwoordelijken of externe hulpdiensten volgens de ernst en toestand van de cliënt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noodzakelijke eerste hulp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BLS (basic life support) met en zonder AED (automatische externe defibrillator)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Evalueert de zorg en rapporteert in het zorgdossier  (J150101 Id17297-c/38663-c)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op nauwkeurige en gestructureerde wijze de wijzigingen en/of gerealiseerde vooruitgang in het zorgdossier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en rapporteert zijn observaties, interventies alsook de reacties (psychosociale, fysieke en psychische) van de cliënt conform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samen met de verpleegkundige de zorg op een continue systematische manier in relatie tot de geplande doelstellingen met inspraak van de cliënt en stuurt, in overleg, bij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betrekking tot de behandeling van de cliënt met de verschillende betrokkenen (verzorgende, verpleegkundige, artsen, ...) om de kwaliteit van de zorg te verbeteren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overige taken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logistieke taken uit  (J150101 Id16311-c/17086-c/18075-c/20810-c/5806-c)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voorbereiding, bedeling en het afruimen van de maaltijden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patiëntenvervoer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mee om een optimaal woon- en leefklimaat voor de cliënt te bekomen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elementaire huishoudelijke taken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de logistieke ruimten (reinigen, desinfecteren, ontsmetten…)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het zorgmateriaal en controleert de goede werking (reinigen, desinfecteren, ontsmetten, eenvoudig steriliseren…)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Regelt ontspannings- en vrijetijdsactiviteiten volgens de verwachtingen en noden van de cliënt en stimuleert de cliënt om deel te nemen  (J150101 Id21893-c)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een aangename sfeer aangepast aan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en begeleidt ontspannings- en vrijetijdsactiviteiten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met andere zorgverleners de behoeften aan 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animator tijdens ontspannings- en vrijetijdsactiviteiten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nadruk op het welbevinden van de persoon met een zorgbehoefte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Betrekt de omgeving van de persoon met een zorgbehoefte bij het sociale leven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contexten (residentiële zorg, thuisverpleging, thuiszorg, gehandicaptenzorg, ziekenhuissector, palliatieve zorg, revalidatie,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anatomie en fysiologie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geneesmiddelen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voedings- en dieetleer (malnutritie, nutritionele interventies,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vitale en fysieke parameters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preventie van veneuze en arteriële aandoeningen in de onderste ledematen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preventie bij decubitus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preventie bij incontinentie gerelateerde vochtletsels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 van droge huid, jeuk en irritatie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 van valincidenten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 van mondproblemen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 van scheurwonden (skintears,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blaassondes en katheters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stomata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geriatrische cliënt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dementie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kraamzorg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zieke kind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meest voorkomende psychische aandoeningen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meest voorkomende beperkingen bij personen met een handicap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palliatieve en terminale zorg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meest voorkomende chronische aandoeningen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diabetes (diabetesvoet,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vrijheidsbeperkende maatregelen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regelgeving en het deontologisch kader met betrekking tot de uitoefening van het beroep (Het KB van 12/01/2006 besluit tot vaststelling van de verpleegkundige activiteiten die de zorgkundigen mogen uitvoeren en de voorwaarden waaronder de zorgkundigen deze handelingen mogen stellen, rechten van de patiënt, beroepsgeheim, gecoördineerde wet op de gezondheidsberoepenwet van 10 mei 2015,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instellingen en verpleeg- en zorgkundige beroepsorganisaties binnen de zorg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begrippen zorgvisie en zorgprocessen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planning en organisatie van (zorgkundige) taken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bedrijfseigen software en dagelijkse administratie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opmaak van een zorgplan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rapportering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teamwork en interdisciplinair 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empowerment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holistische visie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animatie-, ontspannings- en vrijetijdsactiviteiten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over diversiteit (diverse sociale, etnische, religieuze of filosofische achtergrond, gender, seksuele geaardheid,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vaardigheden rekenen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eenvoudige sterilisatietechnieken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basisschoonmaaktechnieken, -producten,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kenmerken van textiel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was- en droogmachines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was- en droogprocessen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strijktechnieken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verpleegkundige basisprincipes (hygiëne en aseptie, comfort, zelfzorg en inspraak, beleving, veiligheid, ergonomie, economie en ecologie)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cliëntgerichte en teamgerelateerde sociale vaardigheden en communicatietechnieken (empathisch handelen, actief luisteren, conflictbeheersing, gesprekstechnieken, relationele vaardigheden, samenwerkingsvormen,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verzorgingstechnieken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gedelegeerde verpleegkundige handelingen (vermeld in de wetgeving van 12 januari 2006 en aangepaste versies)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ADL-functies en dysfuncties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verplaatsingstechnieken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ADL- hulpmiddelen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(verzorgings-)materialen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 (behandeling bij bloedingen, verwondingen, verstikking, vergiftiging, verdrinking, insectenbeten, orthopedische letsels,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BLS en AED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protocollen (verpleegkundige en verzorgende handelingen, (zieken)huisinfecties, preventieve maatregelen,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ontsmettingsprocedures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afval en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basismethoden voor (zelf-)reflectie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Standaardnederlands (kan zichzelf vloeiend en spontaan uitdrukken zonder daarvoor aantoonbaar naar woorden te moeten zoeken. Zij/hij kan een conversatie voeren met de cliënt en kan efficiënt rapporteren aan andere zorgverleners. Kan korte verslagen en mededelingen noteren)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zorg binnen de grenzen van het wetgevende en professionele kader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volgens afspraken en visie van de organisatie en actuele evidence based protocollen (veiligheid, toezicht naleven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handelen volgens de professionele (gedrags-)code (beroepsgeheim, privacy van de cliënt, scheiding beroepscontext-privé,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 van een professionele zorgrelatie op empathische wijze met respect voor de medische, fysieke, sociale, culturele en spirituele achtergrond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benaderen van de cliënt op holistische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tonen van een groot verantwoordelijkheidszin voor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zakelijke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zorg conform de professionele aanbevelingen, de (evidence based) protocollen en institutionele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volgens de basisprincipes ( hygiëne en aseptie, comfort, beleving, zelfzorg en inspraak, veiligheid, ergonomie, economie en ecologie)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onderhouden van een efficiënte communicatie met andere zorgverleners om zorgoverdracht te optimaliseren waarbij hij/zij een respectvolle houding aanneemt, luistert en samen werkt met de andere teamleden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algemene zorg van de cliënt met andere zorgververleners (arts, verpleegkundige, (interdisciplinair)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verwoorden van de bezorgdheden en noden van de cliënten en/of zorgverleners bij de besluitvorming van het interdisciplinair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bijdragen tot de continuïteit van de (interdisciplinaire) zorgverlening of de interdisciplinaire samenwerking in het kader van de zorgprocessen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de taken en rollen van andere disciplines in de zorgsector en weet wanneer op wie een beroep gedaan kan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meewerken in het interdisciplinair team aan preventie-acties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van patiëntengegevens met andere zorgverleners via elektronische of digitale netwerken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 empathische wijze kunnen omgaan met de cliënt waarbij de nodige afstand bewaard wordt om een professionele relatie te behouden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afspraken met de cliënt aangaande de uitvoering van de hulpvraag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actief kunnen luisteren zonder een waardeoordeel te vellen, rekening houdend met de geschiedenis en eigenheid van de cliënt en zich ervan kunnen vergewissen dat hij/zij de cliënt correct begrepen heeft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zijn/ haar taalgebruik in functie van de cliënt, zowel naar inhoud als naar vorm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en begeleiden van de cliënt in moeilijke momenten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cliënt bij vragen rond levenskwaliteit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zelfredzaamheidsdoelen in overleg met de cliënt en ze kunnen uitvoeren conform het zorgplan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aangereikte methoden (paramedische adviezen, gesprekstechnieken…) om  de zelfredzaamheid van cliënt te ondersteunen, te versterken of te herstellen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en ondersteunen van de draagkracht en draaglast van de cliënt en zijn omgeving binnen de individuele zorg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professioneel kunnen bijscholen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terugvinden van vormingsorganisaties en – programma’s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reflecteren over het eigen handelen en dit kunnen bijsturen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openstaan voor en het constructief kunnen omgaan met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 constructieve wijze kunnen omgaan met de grenzen van zijn/haar beroepsdomein en in functie van zijn/haar competenties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kennis met alle zorgverleners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de taal die men in het kader van het beroep hanteert op voldoende deskundige wijze zowel mondeling als schriftelijk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volgens  de actuele (evidence based)  ontwikkelde protocollen binnen organisatie/voorziening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taalgebruik aan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toegewezen stagiair in opleiding en het kunnen scheppen van een gunstige leerklimaat in functie van de leerdoelen en leermogelijkheden van de stagiair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fungeren als rolmodel voor de stagiair in opleiding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individuele zorgbehoeften, binnen zijn bevoegdheden, aan de hand van de gegevens verkregen uit verschillende bronnen (zorgdossier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individuele zorgprioriteiten in samenwerking met de verpleegkundige en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het zorgplan op reguliere basis, in samenwerking met andere leden van het zorgteam en met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plannen van de individuele zorg van de cliënten op systematische wijze (stappen van probleemoplossing) conform het individuele zorgplan rekening houdend met de prioriteiten, de continuïteit van de zorg, geplande onderzoeken, tijdsbesteding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basiszorg (zorg en nazorg) en past deze aan in functie van de individuele noden en gewoonten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basiszorg op structurele en systematische wijze bij de verschillende doelgroepen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kwalitatieve basiszorg in de verschillende zorgcontexten volgens de door de verpleegkundige opgestelde zorgplanningen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en herkennen van de veranderingen (psychisch, fysiek, sociaal…) in de gezondheidstoestand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het algemeen comfort en de veiligheid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opruimen van al het materiaal en het netjes kunnen achterlaten van de kamer/leefruimte rekening houdend met de verwachtingen en mogelijkheden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gedelegeerde verpleegkundige handelingen binnen de toegestane wetgevende bepalingen en binnen een gestructureerde equipe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aanbieden van comfortzorg bij de toegewezen palliatieve en terminale zorg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inventariseren van de risicofactoren voor primaire, secundaire en tertiaire letsels bij cliënten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nodige maatregelen ter voorkoming van primaire, secundaire en tertiaire letsels bij cliënten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nodige maatregelen om infecties en besmettingen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informatie over het treffen van preventieve maatregelen (hulpmiddelen, ondersteunende middelen,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het aanwenden van preventiemiddelen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voorstellen voor het aanpassen van de leefruimte om de veiligheid en ergonomie te verhogen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levensbedreigende situaties en het kunnen ingrijpen conform de voorgeschreven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veiligheid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alarmeren van de interne verantwoordelijken of externe hulpdiensten volgens de ernst en toestand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schriftelijk of volgens elektronische weg in het zorgdossier kunnen rapporteren op nauwkeurige en gestructureerde wijze wat betreft de wijzigingen en/of gerealiseerde vooruitgang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delen en rapporteren van zijn/haar observaties, interventies alsook de reacties (psychosociale, fysieke en psychische) van de cliënt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samen met de verpleegkundige kunnen evalueren en bijsturen van de zorg op een continue systematische manier in relatie tot de geplande doelstellingen en met inspraak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betrekking tot de behandeling van de cliënt met verschillende betrokkenen (verzorgende, verpleegkundige, artsen, ...) om de kwaliteit van de zorg te verbeteren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meehelpen om een optimaal woon- en leefklimaat voor de cliënt te bekomen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brengen van een aangename sfeer aangepast aan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en begeleiden van ontspanning en vrijetijdsactiviteiten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met andere zorgverleners van de behoeften aan activiteiten van de cliënt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animator tijdens de ontspannings- en vrijetijdsactiviteiten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nadruk leggen op het welbevinden van de persoon met een zorgbehoefte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betrekken van de omgeving van de cliënt bij het sociale leven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hanteren van een systematische aanpak voor het oplossen van problemen in alle mogelijke professionele situaties binnen de grenzen van de eigen bevoegdheden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van weerstanden van de cliënt en hiermee kunnen omgaan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op een adequate manier kunnen omgaan met agressie, grensoverschrijdend gedrag vanwege de cliënt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hulp inroepen van het interdisciplinaire team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presteren onder druk, tijdens of na tegenslag of teleurstelling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opvolgen van cliënten met een verhoogd risico</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basiszorg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verlenen van zorg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gedelegeerde handelingen die aansluiten bij zijn competentieniveau en wettelijk beroepsdomein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creëren van een veilige omgeving voor de cliënt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verlenen van zorg aan een overledene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noodzakelijke eerste hulp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BLS (basic life support) met en zonder AED (automatische externe defibrillator)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verzorgen van de persoonlijke hygiëne en zorgt voor een verzorgd voorkomen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aangereikte hulpmiddelen om  de zelfredzaamheid van cliënt te ondersteunen, te versterken of te herstellen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al het materiaal en het netjes kunnen achterlaten van de kamer/leefruimte rekening houdend met de verwachtingen en mogelijkheden van de cliënt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zorgen voor de voorbereiding, bedeling en het afruimen van de maaltijden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patiëntenvervoer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elementaire huishoudelijke taken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onderhouden van de logistieke ruimten (reinigen, desinfecteren, ontsmetten…)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onderhouden van het zorgmateriaal en het kunnen controleren van de goede werking (reinigen, desinfecteren, ontsmetten, eenvoudig steriliseren…)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vereist dat in het kader van het zorgproces de rollen, verschillen en grenzen van iedere partner, herkend en gerespecteerd worden, zowel binnen het eigen vakgebied als ten aanzien van andere vakgebieden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zorgkundige wordt uitgeoefend in uiteenlopende contexten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hoofdzakelijk uitgeoefend binnen onregelmatige werktijden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en/of multidisciplinair, waarbij de nodige flexibiliteit belangrijk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afgebakend in de tijd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vereist een behandeling op maat volgens de noden van de cliënt waarbij de cliënt op een holistische wijze benaderd wordt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reglementeringen wat betreft veiligheid, gezondheid, hygiëne, welzijn, milieu,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activiteiten kunnen gezondheidsrisico’s inhouden voor de beroepsuitoefenaar en zijn/haar omgeving. Het naleven van de veiligheidsvoorschriften en het dragen van persoonlijke beschermingsmiddelen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stressbestendige houding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beroepsuitoefening moet men zich bewust de van de effecten van de eigen verbale, non-verbale en digitale communicatie en de invloed hiervan op de cliënt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verantwoordelijkheidszin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dit beroep wordt er door alle zorgkundigen meegebouwd aan een cultuur van collegialiteit, welzijn, respect binnen de professionele relaties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op constructieve en transparante wijze informatie uitwisselen met de andere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is zich constant bewust van de impact van zijn handelingen op de cliënt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kan zich aanpassen aan en flexibel opstellen bij wisselende werkomstandigheden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steeds het zorgplan, regelgeving en kwaliteitseisen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bijblijven met de ontwikkelingen binnen de sector, dit vergt levenslang leren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planmatig kunnen denken, prioriteiten stellen en zijn werkzaamheden organiseren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discreet handelen conform de beroepsethiek en organisatiegebonden gedragscode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toont zin voor initiatief binnen de wettelijke bepalingen tijdens bepaalde situaties, problemen,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kwaliteitsvol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op holistische wijze cliëntgericht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het positief imago van zijn/haar onderneming uitstralen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op empathische wijze omgaan met de cliënt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dient consequent en gefocust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moet zich bewust zijn dat gemaakte fouten gevolgen kunnen hebben die een impact kunnen hebben op het fysiek en psychisch welzijn van de cliënt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maakt van de zorgmomenten zinvolle contactmomenten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zorgkundige neemt een voorbeeldfunctie op binnen het zorggebeuren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beroepsspecifieke handelingen en de door de regelgeving beschreven technische verpleegkundige activiteiten conform de gemaakte afspraken met de verpleegkundige en het zorgplan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informeren, adviseren van de cliënt over de mogelijke functionele aanpassingen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rapporteren van de basiszorg binnen het zorgplan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huishoudelijke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logistieke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evalueren van het eigen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verstrekken van informatie aangaande preventieve maatregelen voor de cliënt conform het zorgplan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regelen van ontspannings- en vrijetijdsactiviteiten conform de behoeften en mogelijkheden van de cliënt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up-to-date houden van de eigen kennis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ontvangen en uitvoeren van opdrachten toegewezen door de verantwoordelijke/verpleegkundige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procedures aangaande de uit te voeren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Tijdsplanning, veiligheids-, gezondheids-, kwaliteits- en milieuvoorschriften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organisatiegebonden gedragscode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regelgevingen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verantwoordelijke/verpleegkundige voor de opdracht, gegevens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interdisciplinair team, cliënt, collega’s, …voor advies en samenwerking</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wettelijke reglementeringen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professionele gedragscode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Waarborgt de zorg aan de hand van de kwaliteitsnormen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met het interdisciplinair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met de cliënt en communiceert professioneel binnen een cliëntgerichte zorgrelatie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en bevordert empowerment en zelfredzaamheid van de cliënt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bij tot de ontwikkeling van het beroep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organiseert de zorg van de cliënt conform het zorgplan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basiszorg uit volgens het zorgplan van de cliënt met ADL-dysfunctie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basiszorg en gedelegeerde verpleegkundige handelingen uit volgens de richtlijnen en onder supervisie van de verpleegkundige aan een cliënt met ADL-disfunctie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preventieve maatregelen ter voorkoming van primaire, secundaire en tertiaire letsels tijdens de basiszorg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EHBO uit bij noodsituaties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Evalueert de zorg en rapporteert in het zorgdossier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logistieke taken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Regelt ontspannings- en vrijetijdsactiviteiten volgens de verwachtingen en noden van de cliënt en stimuleert de cliënt om deel te nemen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attest EHBO</w:t>
      </w:r>
      <w:r>
        <w:br/>
      </w:r>
      <w:r>
        <w:t>visum Zorgkundige</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