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0299</w:t>
      </w:r>
      <w:r>
        <w:t>)</w:t>
      </w:r>
    </w:p>
    <w:p w:rsidR="003B07E1" w:rsidRDefault="003B07E1" w:rsidP="003B07E1">
      <w:pPr>
        <w:pStyle w:val="DossierTitel"/>
      </w:pPr>
      <w:r>
        <w:t>Visual Merchandiser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Visual Merchandiser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"D150601 Merchandiser (m/v)"</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Optimaliseert de organisatie van de uitstalpunten (plaats, opwaardering, aantallen, ...) rekening houdend met  commerciële doelstellingen van een merk of een label teneinde  het commercieel rendement van een verkoopruimte (hypermarkt, ...) te doen toenemen.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2018</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Analyseert de consumptiegewoonten, omloopsnelheid van producten, gerealiseerde verkoop en stelt een commercieel actieplan op (producten die worden uitgestald, plaats, duur, ...) (D150601 Id22025) (D150601 Id22025-c)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Wint, indien nodig, informatie in over de markt (consumptie, mogelijke klanten, producten, …) via verschillende kanalen (internetsites, databanken, kranten,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indien nodig, marktanalyse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Omschrijft de stappen in het actieplan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per stap de uitvoeringsvoorwaarden (termijn, budget, personeel, uitbesteding, investeringen,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Bepaalt de plaats van producten en bespreekt dit met het afdelings- of departementshoofd (D150601 Id3494-c)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 winkelplan op met het oog op de hoeveelheid producten die moeten worden uitgestald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productpresentaties op strategische plekken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Benut de beschikbare uitstalruimte optimaal</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de balans van de merchandising op en bepaalt samen met de marketingverantwoordelijke de verbeteringen  (D150601 Id16882-c)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aan de slag met  gegevens en resultaten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rapporten en verslagen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Zoekt verbeterpunten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Helpt mee het globale merchandisingsbeleid van de onderneming te bepalen (aanbevelingen, prestatie-indicatoren, ...) (D150601 Id23682-c)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ontwikkelingen op het vlak van merchandising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Helpt criteria om te controleren of de doelstellingen behaald worden, vast te leggen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voorstellen voor het aanpassen van de presentatie van producten aan trends, onvoorziene omstandigheden,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Realiseert acties voor het personeelsbeleid (aanwerving, opleiding, …)  (D150601 Id18069-c)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Ondersteunt de werving en selectie van nieuwe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de begeleiding van nieuwkomers, stagiairs,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Ondersteunt de opmaak van functieprofielen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Bepaalt het budget van een organisatie en volgt dit op (D150601 Id18012-c)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Beargumenteert de gemaakte keuzes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Beheert het toegekende budget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kostenefficiënt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het management over de behaalde financiële prestaties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voorstellen om de inkomsten te vergroten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het online-productaanbod uit. (D150601 Id51026-c)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welke producten op welke manier op de website 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Vergelijkt de online-diensten van de concurrentie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mee aan multi-channel oplossingen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een enquête bij de doelgroep en analyseert de impact van het project op de verkoop. (B130101 Id21238-c)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zich over het te onderzoeken thema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het doelpubliek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deel aan het uitwerken van het onderzoeksproces (selectie onderzoeksmethode, -stappen,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registreert, klasseert en beheert informatie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Biedt de verkopers hulp bij merchandisingtechnieken (D150601 Id22950-c)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opdracht om goederen te herschikken, op te ruimen,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het schappenplan (beheer van het assortiment, ...) en maakt dit over aan het verkooppersoneel en controleert de toepassing ervan. (D150601 Id25028-c)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grafische software voor het beheer van schapruimte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plaats van de producten op basis van de omloopsnelheid, de voorraad, de noden van de klanten,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Deelt schappen in per productcategorie (merk, assortiment,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met het verkooppersoneel</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de animatie binnen een winkel uit en beheert deze (D150601 Id21178-c)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decoraties of past ze aan volgens de omstandigheden, seizoensgebonden thema's,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hulpmiddelen voor de verkoop uit of past deze aan voor de verdelers (etalagegids, presentatiegids voor de collectie, ...) (D150601 Id21167-c)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presentatieteksten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Integreert beeldmateriaal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boodschap aan het doelpubliek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en volgt de presentatie en de verpakking van producten op (decors, publiciteit op het verkooppunt, ...)  (D150601 Id24672-c)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een palet van kleuren, stijlen, materialen, … om de aandacht op producten te vestigen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Bedenkt een concept voor de presentatie van producten dat past bij de sfeer die de winkel wil uitstralen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seizoensgebonden thema's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Ontwerpt uitstalpunten om producten aan te prijzen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Ontwerpt de inrichting van winkels en etalages en past deze aan aan de trends in de onderneming  (B130101 Id25093-c)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interpreteert en evalueert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met de opdrachtgever of anderen over de juiste interpretatie of voor aanvullende informatie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desk research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 plan van aanpak op met een algemene planning en calculatie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 creatief concept op met concrete adviezen op het gebied van communicatie, kleur-, stijl- en materiaalgebruik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het concept uit in een grove schets, legt het voor aan de opdrachtgever en beargumenteert gemaakte keuzes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indien nodig het concept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kleuren, stijlen, materialen,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Integreert schetsen en tekeningen in een totaalontwerp dat voldoet aan de gestelde eisen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een visualisatie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Presenteert ontwerp en/of visualisatie en stuurt bij op basis van feedback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werkplannen en werkmethodieken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afspraken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Koopt of huurt de benodigde middelen en materialen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Presenteert producten in etalages en winkels en installeert decoratieve elementen. (B130101 Id15581-c)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locatie op uitvoerbaarheid en past indien nodig het ontwerp nog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op basis van het ontwerp zelf decoraties en/of zoekt decoraties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onderdelen voor productpresentatie geheel of gedeeltelijk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welke onderdelen, objecten, displays, materialen en gereedschappen te verzamelen en te verzenden zijn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Laadt en lost het materiaal en materieel, maakt indien nodig gebruik van transporthulpmiddelen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en kleedt etalagefiguren aan, plaatst displays en maakt de presentaties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afdelingen in, plaatst verkooprekken en goederen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Hangt decoratieve en point-of-sale materialen op en bevestigt deze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 digitale instore media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Licht de presentatieruimte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goedkeuring over de uitgevoerde werkzaamheden, brengt indien nodig aanpassingen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na afloop van de presentatie, zoveel mogelijk op basis van hergebruik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de werkplek op, sorteert afval volgens de richtlijnen en bergt materialen en middelen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budget en planning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Plaatst de bewegwijzering voor het cliënteel (reclame, kassazone, …) en afficheert de prijzen in de winkel  (B130101 Id15401-c)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volgens de wettelijke 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Volgt de productvoorraad van merchandising materiaal en materieel op, stelt tekorten vast en geeft de bestellingen door (B130101 Id18151-c)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het verbruik van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de te bestellen hoeveelheden of tekorten door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Richt ruimtes in. (B130101 Id18744-c)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ruimtes van winkels, evenementen, commerciële exposities … in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Creëert etalages en een plaatst product op de voorgrond  (B130101 Id19312-c)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Creëert etalages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producten op de voorgrond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Volgt de decoratietrends en -sferen op. (B130101 Id17382-c)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informatiebronnen (internetforums, vaktijdschriften, marktonderzoek,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Bezoekt studiedagen, vakbeurzen,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permanent de eigen deskundigheid (co 01969)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zich over de ontwikkelingen in relatie tot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Identificeert de behoefte aan verdere ontwikkeling in relatie tot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nieuwe evoluties op in relatie tot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Verwerft nieuwe kennis en vaardigheden in relatie tot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Deelt kennis met collega’s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Coördineert een team van deelnemers aan het project, bestelt het  merchandisingmateriaal van een groep winkels bij en superviseert dit.  (B130101 Id19251-c)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Adviseert deelnemers in de ontwerp- en realisatiefase op het gebied van vormgeving, materialen, technieken en gereedschappen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 planning op en past ze aan wijzigende omstandigheden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Verdeelt taken en verantwoordelijkheden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begeleidt, stuurt en motiveert (nieuwe)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uitvoering van de opdrachten en het naleven van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Levert het ontwerp en/of de realisatie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gegevens over het project en rapporteert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Leidt verkopers en winkelverantwoordelijken op over productplaatsing volgens de organisatieafspraken (inrichten etalages, ...) (B130101 Id21759-c)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verder op reeds aanwezige kennis en vaardigheden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uitleg over de uitvoering en het doel van de opdrachten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Demonstreert de werking van uitrusting en materiaal en/of licht methodieken en technieken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Deelt complexe opdrachten op in stappen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taalgebruik aan de medewerkers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Ondersteunt de medewerker bij het inoefenen van vaardigheden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Beantwoordt vragen van de medewerker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Coördineert de activiteiten van een team  (D150601 Id18000-c)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 planning op en past ze aan wijzigende omstandigheden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Verdeelt taken en verantwoordelijkheden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begeleidt, stuurt en motiveert (nieuwe)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uitvoering van de opdrachten en het naleven van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en leidt teamvergaderingen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competenties van medewerkers op en bespreekt opleidingsmogelijkheden met de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plannings-, functionerings- en evaluatiegesprekken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personeelsbeheer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belichting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interieurarchitectuur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marketing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akoestiek</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geomarketing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publiciteitstechnieken (keuze van media, dragers,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richtlijnen voor het samenstellen van een productassortiment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typologie van klanten of consumenten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commerciële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verpakkingswijze van voedingsmiddelen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visual merchandising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bevoorradingsmethodes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statistische 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online-aankoopgedrag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tools om het gedrag van gebruikers te volgen (behavioural targeting tools)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(dynamische) navigatiescenario's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budgetbeheer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professionele forums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tekentechnieken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 en toegangsvoorschriften van publieke ruimten en gebouwen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technieken voor merchandising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technieken voor het leiden van een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opleidingstechnieken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indien nodig, kunnen inwinnen van  informatie in over de markt (consumptie, mogelijke klanten, producten, …) via verschillende kanalen (internetsites, databanken, kranten,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indien nodig, kunnen voeren van marktanalyse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omschrijven van de stappen in het actieplan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per stap bepalen van de uitvoeringsvoorwaarden (termijn, budget, personeel, uitbesteding, investeringen,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een palet van kleuren, stijlen, materialen, … om de aandacht op producten te vestigen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bedenken van een concept voor de presentatie van producten dat past bij de sfeer die de winkel wil uitstralen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seizoensgebonden thema's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ontwerpen van uitstalpunten om producten aan te prijzen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winkelplan met het oog de hoeveelheid producten die moeten worden uitgestald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voorzien van productpresentaties op strategische plekken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optimaal benutten van de beschikbare uitstalruimte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grafische software voor het beheer van schapruimte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plaats van de producten op basis van de omloopsnelheid, de voorraad, de noden van de klanten,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indelen van  schappen per productcategorie (merk, assortiment,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het verkooppersoneel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een opdracht om goederen te herschikken, op te ruimen,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 de slag gaan met  gegevens en 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rapporten en verslagen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zoeken verbeterpunten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ontwikkelingen op het vlak van merchandising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helpen vastleggen van criteria om te controleren of de doelstellingen behaald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doen van voorstellen voor het aanpassen van de presentatie van producten aan trends, onvoorziene omstandigheden,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presentatieteksten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integreren van beeldmateriaal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de boodschap aan het doelpubliek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decoraties of ze aanpassen volgens de omstandigheden, seizoensgebonden thema's,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de werving en selectie van nieuwe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de begeleiding van nieuwkomers, stagiairs,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de opmaak van functieprofielen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welke producten op welke manier op de website 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vergelijken van de online-diensten van de concurrentie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meewerken aan multi-channel oplossingen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kantoorsoftware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beargumenteren van de gemaakte keuzes bij het bepalen van het budget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beheren van het toegekende budget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kostenefficiënt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het management over de behaalde financiële prestaties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doen van voorstellen om de inkomsten te vergroten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verdelen van taken en verantwoordelijkheden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begeleiden, sturen en motiveren van (nieuwe)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uitvoering van de opdrachten en het naleven van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en leiden van teamvergaderingen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competenties van medewerkers en bespreken van opleidingsmogelijkheden met de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voeren van plannings-, functionerings- en evaluatiegesprekken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raadplegen van informatiebronnen (internetforums, vaktijdschriften, marktonderzoek,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bezoeken van  studiedagen, vakbeurzen,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interpreteren en evalueren van  de opdracht bij het inrichten van winkels en ontwerpen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de opdrachtgever of anderen over de juiste interpretatie of voor aanvullende informatie bij het inrichten van winkels en ontwerpen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desk research bij het inrichten van winkels en ontwerpen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plan van aanpak met een algemene planning en calculatie bij het inrichten van winkels en ontwerpen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creatief concept met concrete adviezen op het gebied van communicatie, kleur-, stijl- en materiaalgebruik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het concept in een grove schets, legt het voor aan de opdrachtgever en beargumenteert gemaakte keuzes bij het inrichten van winkels en ontwerpen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kleuren, stijlen, materialen, … bij het inrichten van winkels en ontwerpen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integreren van schetsen en tekeningen in een totaalontwerp dat voldoet aan de gestelde eisen bij het inrichten van winkels en ontwerpen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een visualisatie  bij het inrichten van winkels en ontwerpen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presenteren van ontwerp en/of visualisatie en bijsturen op basis van feedback bij het inrichten van winkels en ontwerpen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van  werkplannen en werkmethodieken bij het inrichten van winkels en ontwerpen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afspraken bij het inrichten van winkels en ontwerpen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kopen of huren van de benodigde middelen en materialen bij het inrichten van winkels en ontwerpen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op basis van het ontwerp zelf kunnen decoraties en/of zoekt decoraties maken bij het presenteren van producten in etalages en winkels en het installeren van decoratieve elementen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monteren van onderdelen voor productpresentatie geheel of gedeeltelijk bij het presenteren van producten in etalages en winkels en het installeren van decoratieve elementen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welke onderdelen, objecten, displays, materialen en gereedschappen te verzamelen en te verzenden zijn bij het presenteren van producten in etalages en winkels en het installeren van decoratieve elementen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plaatsen en aankleden etalagefiguren, plaatsen van displays en opmaken van de presentaties bij het presenteren van producten in etalages en winkels en het installeren van decoratieve elementen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inrichten van afdelingen, plaatsen van verkooprekken en goederen bij het presenteren van producten in etalages en winkels en het installeren van decoratieve elementen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ophangen van decoratieve en point-of-sale materialen en deze bevestigen bij het presenteren van producten in etalages en winkels en het installeren van decoratieve elementen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plaatsen van digitale instore media bij het presenteren van producten in etalages en winkels en het installeren van decoratieve elementen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uitlichten de presentatieruimte bij het presenteren van producten in etalages en winkels en het installeren van decoratieve elementen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vragen van een goedkeuring over de uitgevoerde werkzaamheden, indien nodig aanpassingen aanbrengen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na afloop kunnen demonteren van de presentatie, zoveel mogelijk op basis van hergebruik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bewaken van budget en planning bij het presenteren van producten in etalages en winkels en het installeren van decoratieve elementen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volgens de wettelijke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doorgeven van de te bestellen hoeveelheden of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inrichten van ruimtes van winkels, evenementen, commerciële exposities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creëren van etalages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plaatsen van producten op de voorgrond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 Het zich kunnen informeren over het te onderzoeken thema bij het houden van een enquête bij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het doelpubliek bij het houden van een enquête bij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deelnemen aan het uitwerken van het onderzoeksproces (selectie onderzoeksmethode, -stappen, ...) bij het houden van een enquête bij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registeren, klasseren en beheren van informatie bij het houden van een enquête bij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deelnemers in de ontwerp- en realisatiefase op het gebied van vormgeving, materialen, technieken en gereedschappen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planning en deze aanpassen aan wijzigende 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verdelen van taken en verantwoordelijkheden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begeleiden, sturen en motiveren van (nieuwe)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uitvoering van de opdrachten en het naleven van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opleveren van het ontwerp en/of de realisatie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van gegevens over het project en hierover rapporteren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verder bouwen op reeds aanwezige kennis en vaardigheden van de medewerkers bij het opleiden over productplaatsing volgens de organisatieafspraken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uitleg over de uitvoering en het doel van de opdrachten bij het opleiden over productplaatsing volgens de organisatieafspraken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demonstreren van de werking van uitrusting en materiaal en/of toelichten van methodieken en technieken bij het opleiden over productplaatsing volgens de organisatieafspraken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opdelen van complexe opdrachten in stappen bij het opleiden over productplaatsing volgens de organisatieafspraken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taalgebruik aan de medewerkers bij het opleiden over productplaatsing volgens de organisatieafspraken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de medewerker bij het inoefenen van vaardigheden bij het opleiden over productplaatsing volgens de organisatieafspraken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beantwoorden van vragen van de medewerker bij het opleiden over productplaatsing volgens de organisatieafspraken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informeren over de ontwikkelingen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identificeren van de behoefte aan verdere ontwikkeling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nieuwe evoluties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verwerven van nieuwe kennis en vaardigheden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delen van kennis met collega’s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indien nodig, kunnen aanpassen het concept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controleren van de locatie op uitvoerbaarheid en indien nodig het ontwerp nog aanpassen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opstellen van een planning en ze aanpassen aan wijzigende omstandigheden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registreren van het verbruik van 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opruimen van de werkplek, sorteren van afval volgens de richtlijnen en opbergen van materialen en 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laden en lossen het materiaal en materieel, indien nodig gebruik maken van transporthulpmiddelen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 basis van het ontwerp zelf decoraties en/of zoekt decoraties maken bij het presenteren van producten in etalages en winkels en het installeren van decoratieve elementen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onderdelen voor productpresentatie geheel of gedeeltelijk bij het presenteren van producten in etalages en winkels en het installeren van decoratieve elementen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en aankleden etalagefiguren, plaatsen van displays en opmaken van de presentaties bij het presenteren van producten in etalages en winkels en het installeren van decoratieve elementen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ophangen van decoratieve en point-of-sale materialen en deze bevestigen bij het presenteren van producten in etalages en winkels en het installeren van decoratieve elementen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digitale instore media bij het presenteren van producten in etalages en winkels en het installeren van decoratieve elementen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inrichten van ruimtes van winkels, evenementen, commerciële exposities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creëren van etalages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producten op de voorgrond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demonstreren van de werking van uitrusting en materiaal en/of toelichten van methodieken en technieken bij het opleiden over productplaatsing volgens de organisatieafspraken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uitgeoefend in een kantoor/commerciële 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varieert naargelang de grootte van het bedrijf en volgens de bedrijfsactiviteiten.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bedrijfsprocedures en -cultuur bepaalt de werkcontext waarnaar de beroepsbeoefenaar zich moet schikken.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wordt uitsluitend uitgeoefend in een dag-systeem.</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kan variëren en pieken bereiken naargelang de noden van en de situatie in het 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takenpakket is vrij gevarieerd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Voor een aantal taken zijn procedures uitgetekend.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behandelen van bepaalde dossiers/opdrachten vergt flexibiliteit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prioriteiten stellen binnen het eigen takenpakket en, indien nodig, doorgeven.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vaardigheden zijn onderhevig aan evoluties.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is een goede communicatie essentieel.</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Sommige werkopdrachten verlopen volgens een regelmaat en moeten binnen de voorzien tijd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alleen of in teamverband uitgeoefend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uitvoering van bepaalde taken is onderhevig aan digitalisering en automatisering.</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dient tijdens de uitvoering van de opdracht zorgvuldig en vertrouwelijk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Voortdurend aandacht hebben voor de tijdige aflevering en uitvoering van de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efficiënt, kwaliteitsvol, ethisch en integer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economisch en ecologisch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volgens de wetgeving en het commercieel beleid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communiceren met leidinggevende(n), collega’s, klanten/gebruikers, leveranciers.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sociaal vaardig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Stelt zich empatisch en positief assertief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beantwoorden van commerciële vragen vergt een individuele en analytische aanpak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beheren van commerciële dossiers en database vraagt nauwgezet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discreet om met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bereid om  zaken aan te leren en anders aan te pakken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een natuurlijke interesse in merchandising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nauwkeurig uitvoeren en controleren van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volgorde van de uitvoering van de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wijze waarop de opdracht wordt uitgevoerd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zelf oplossen van problemen en onregelmatigheden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melden van problemen aan de verantwoordelijke indien deze niet zelf op te lossen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beantwoorden van commerciële vragen die tot zijn takenpakket/bevoegdheid behoren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voeren van efficiënt communicatie met leidinggevende(n), collega’s, klanten/gebruikers, leveranciers en externen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en informeren van doelgroep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permanent opvolgen van nieuwe ontwikkelingen en regelgeving het commercieel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oplossingsgericht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doelgroepgericht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commerciële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permanent ontwikkelen van de eigen deskundigheid</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eindcontrole van een beperkt aantal opdrachten (vacatures,…)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opgelegde timing of noodzakelijk tijdstip voor de uitvoering van de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geldende regels en bepaalde procedures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bedrijfscultuur, het commercieel beleid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commerciële wetgeving, verkoopscontracten,…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beschikbaarheid en de mogelijkheden van klanten/gebruikers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leidinggevende/de verantwoordelijke voor het inwinnen van informatie over het te volgen commercieel beleid.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leidinggevende/de verantwoordelijke voor het inwinnen van informatie over de aanpak van bepaalde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team/collega’s voor het inwinnen van informatie om taken af te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verantwoordelijke indien problemen niet zelf op te lossen zijn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analyseren van de consumptiegewoonten, omloopsnelheid van producten, gerealiseerde verkoop en het opstellen van een commercieel actieplan (producten die worden uitgestald, plaats, duur,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plaats van producten en dit bespreken met het afdelings- of departementshoofd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van de balans van de merchandising en samen met de marketingverantwoordelijke bepalen van de verbeteringen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meehelpen bepalen van het globale merchandisingsbeleid van de onderneming (aanbevelingen, prestatie-indicatoren,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realiseren van acties voor het personeelsbeleid (aanwerving, opleiding,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het budget van een organisatie en dit opvolgen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uitwerken van het online-productaanbod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houden van een enquête bij de doelgroep en het analyseren van de impact van het project op de verkoop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bieden van hulp aan de verkopers  bij merchandisingtechnieken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ontwikkelen van het schappenplan (beheer van het assortiment, ...), het overmaken aan het verkooppersoneel en het controleren van de toepassing ervan.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uitwerken van de animatie binnen een winkel en deze beheren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uitwerken van hulpmiddelen voor de verkoop of aanpassen voor de verdelers (etalagegids, presentatiegids voor de collectie,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ontwikkelen en opvolgen van de presentatie en de verpakking van producten (decors, publiciteit op het verkooppunt,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ontwerpen van de inrichting van winkels en etalages en deze aanpassen aan de trends in de onderneming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presenteren van producten in etalages en winkels en installeren van decoratieve elementen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plaatsen van de bewegwijzering voor het cliënteel (reclame, kassazone, …) en afficheren van de prijzen in de winkel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de productvoorraad van merchandising materiaal en materieel, vaststellen van tekorten en doorgeven van de bestellingen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inrichten van ruimtes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creëren van etalages en het plaatsen van product op de voorgrond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de decoratietrends en -sferen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permanent ontwikkelen van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een team van deelnemers aan het project, bestellen van het  merchandisingmateriaal van een groep winkels bij en dit superviseren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opleiden van verkopers en winkelverantwoordelijken over productplaatsing volgens de organisatieafspraken (inrichten etalages,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activiteiten van een team</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esten of voorwaarden verplicht.</w:t>
      </w:r>
    </w:p>
    <w:p w:rsidR="008539AC" w:rsidRDefault="00C2126F" w:rsidP="008539AC">
      <w:pPr>
        <w:spacing w:after="0" w:line="240" w:lineRule="auto"/>
      </w:pPr>
      <w:r w:rsidRPr="008539AC">
        <w:t/>
      </w:r>
      <w:r w:rsidR="008539AC" w:rsidRPr="00EF64DE">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