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0321</w:t>
      </w:r>
      <w:r>
        <w:t>)</w:t>
      </w:r>
    </w:p>
    <w:p w:rsidR="003B07E1" w:rsidRDefault="003B07E1" w:rsidP="003B07E1">
      <w:pPr>
        <w:pStyle w:val="DossierTitel"/>
      </w:pPr>
      <w:r>
        <w:t>HR assistent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HR assistent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Het opvolgen en informeren van het personeel en het administratief beheren van personeelsdossiers, rekening houdend met de geldende regelgeving en het HR-beleid van de organisatie teneinde een efficiënt personeelsbeheer te ondersteunen en uit te voeren.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ondersteunend en loyaal t.a.v. de afdeling/organisatie   (M160601 Id-c)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Digitaliseert, verwerkt en controleert documenten, data en informatie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helder, duidelijk en op een zakelijke manier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instrumenten voor de opvolging van de activiteit van de organisatie/afdeling en maakt en werkt situatieoverzichten bij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commerciële handelingen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vergaderingen en stelt verslagen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Respecteert de bedrijfscultuur, procedures en regels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confidentieel om met bedrijfsgerelateerde informatie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de werkplek veilig, ordelijk en milieubewust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oplossingsgericht (co 01805)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Inventariseert problemen (databanken, eigen administratie,…)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Analyseert de aard van de problemen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Merkt problemen op en signaleert ze in aan de leidinggevende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een passende oplossing uit voor problemen binnen het eigen takenpakket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Zoekt naar oplossingen om problemen te voorkomen binnen het eigen takenpakket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doelgroepgericht  (co 01806)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integer en respectvol om met klanten/collega’s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Zorg voor een goede overlegsituatie met de klant/collega’s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Wekt geen onrealiseerbare verwachtingen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Richt de aandacht op de wensen en de belangen van de klanten en op de samenwerking met collega’s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Probeert zich in de wensen en problemen van de klant/collega in te leven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authentiek om met bezwaren, weerstand en klachten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permanent de eigen deskundigheid (co 01808)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zich over de ontwikkelingen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de behoefte aan verdere ontwikkeling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nieuwe evoluties op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Verwerft nieuwe kennis en vaardigheden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Deelt kennis met collega's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>S</w:t>
      </w:r>
      <w:r w:rsidR="00597ADE">
        <w:rPr>
          <w:b/>
          <w:color w:val="595959" w:themeColor="text1" w:themeTint="A6"/>
          <w:sz w:val="26"/>
          <w:szCs w:val="26"/>
        </w:rPr>
        <w:t>pecifieke activiteiten</w:t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Organiseert en ondersteunt het proces van werving en selectie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01784)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vacatures op volgens richtlijnen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Verspreidt de vacatures via verschillende kanalen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Screent de verschillende CV’s en motivatiebrieven aan de hand van het vereiste profiel  en sorteert deze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telefonisch een preselectie uit aan de hand van een standaardvragenlijst en –procedure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Nodigt, na overleg, potentiële  kandidaten uit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Plant de sollicitatiegesprekken efficiënt in en volgt deze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praktische ondersteuning bij interne assessments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Beantwoordt de niet weerhouden kandidaten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Maakt individuele dossiers van werknemers aan, volgt op en voert updates door, rekening houdend met de actuele wetgeving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Id17577-c)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 (tekstverwerking, rekenblad,...)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Verzamelt en controleert gegevens (attesten, tijdsregistratie, wijzigingen personeel, dienstverplaatsingen, onkosten,….) volgens de richtlijnen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Houdt verlofadministratie en ziektemeldingen bij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Berekent verloftegoeden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Doet opzoekingen om dossiers te vervolledigen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Registreert, klasseert en beheert gegevens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arbeidscontracten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de nodige documenten op in functie van het beëindigen van een arbeidscontract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de nodige documenten op in functie van tijdelijke arbeidskrachten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gegevens aan bij in- en uitstroom of doorstroom van personeel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Signaleert bijzonderheden of afwijkingen aan de verantwoordelijke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Dient de wettelijke personeelsaangifte in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Beantwoordt individuele vragen van het personeel (telefonisch, schriftelijk)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FR-softwarepakket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Vertaalt opleidingsbehoeften en -noden naar opleidingsinitiatieven 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Id24354-c)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Overlegt met de verantwoordelijke over opleidingsbehoeften en -noden van/voor personeelsleden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Analyseert verslagen en data om opleidingsbehoeften en -noden te inventariseren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opleidingsactiviteiten voor op basis van geïnventariseerde behoeften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Overlegt met de verantwoordelijke over de mogelijke opleidingen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Vraagt opleidingen aan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Noteert aangevraagde/gevolgde opleidingen in het personeelsdossier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opleidingsactiviteiten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evaluaties van de opleiding en het aanbod op volgens het HR-beleid van de organisatie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Actualiseert en werkt documenten uit om het HR-beleid te evalueren en bij te sturen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Id8238-c)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Verzamelt beleidsondersteunende gegevens (ziekteverzuim, deeltijds werk, …)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tabellen en grafieken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Rapporteert aan de verantwoordelijke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Licht het personeel in over sociale wetgeving en specifieke kenmerken van de organisatie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Id17260-c)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informatie over tewerkstellingsmaatregelen, tijdskrediet, deeltijdse arbeid, zwangerschappen,…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Zoekt arbeidswetgeving op via gespecialiseerde databanken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wijzigingen in de sociale wetgeving en aanpassingen in de CAO’s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gegevens op zijn correctheid rekening houdend met de sociale wetgeving en het arbeidsrecht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Wint advies in van derden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Verzorgt de praktische organisatie van de sociale verkiezingen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Id15482-c)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Respecteert het stappenplan van de verkiezingsprocedure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Verzorgt de praktische organisatie van de sociale verkiezingen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Informeert de raad of het comité over de technische bedrijfseenheid, het aantal werknemers, de directiefuncties en de kaderfuncties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de verkiezingsdatum en de kandidatenlijst bekend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kantoorsoftware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de behandeling van tuchtmaatregelen en relaties met wettelijke instanties (arbeidsinspectie, arbeidsrechtbank, ...) op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Id17611-c)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na welke tuchtmaatregelen in het arbeidsreglement voorzien zijn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Vult het dossier aan met bewijsmateriaal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Brengt formaliteiten in orde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een verslag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Verwelkomt nieuwe werknemers en bevordert hun integratie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Id18183-c)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Bezorgt documenten aan de nieuwe werknemers (arbeidsreglement, ontvangstbewijs, bedrijfsethiek, onthaalbrochure,….)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nieuwe werknemers voor aan de personeelsleden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uitleg over regels, procedures, arbeidsvoorwaarden, documenten,…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Controleert en voert loongegevens in (premies, uitkeringen, maandelijkse salarissen, inhoudingen, ...)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Id25808-c)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software voor loonberekening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Verzamelt de nodige gegevens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Beheert extra legale voordelen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Controleert de gegevens op hun juistheid en volledigheid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standaardberekeningen uit (loon, pensioen, sociale bijdrage,…) rekening houdend met aan- en afwezigheden, premies,…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belastingwetgeving toe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Staat in voor de administratieve verwerking bij zwangerschappen, profilactische regelingen, ziekte, 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vertrouwelijk om met 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Beheert en volgt het volledige personeelsbestand op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Id20736-c/20737-c/20738-c/20739-c)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de administratie van tijdelijke werknemers (uitzendkrachten, stagiares,…)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interne verschuivingen, overplaatsing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Treft de nodige administratieve regelingen bij in pensioenstelling, ontslag, verlofstelsels, afwezigheden…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contracten voor de outsourcing van diensten (betaling, werving, opleiding, ...) op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(M150101 Id25853-c)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Wisselt informatie uit met het sociaal secretariaat, uitzendbureaus,…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Fungeert als aanspreekpunt tussen werknemers en het sociaal secretariaat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Volgt op of afspraken nageleefd worden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Evalueert op geregelde tijdstippen het contract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Gebruikt een HR-softwarepakket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A15DC3" w:rsidRPr="00080BFA" w:rsidRDefault="000C04C6" w:rsidP="00A15DC3">
      <w:pPr>
        <w:spacing w:after="0" w:line="240" w:lineRule="auto"/>
        <w:rPr>
          <w:lang w:val="en-US"/>
        </w:rPr>
      </w:pPr>
      <w:r w:rsidRPr="00A15DC3">
        <w:rPr>
          <w:color w:val="FF0000"/>
          <w:lang w:val="en-US" w:eastAsia="nl-BE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>
        <w:br/>
      </w:r>
      <w:r>
        <w:t>Generieke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ergonomische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ICT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commerciële 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presentatietechnieken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Engels: standaardteksten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Frans: standaardteksten over HR- en personeelgerelateerde thema’s  begrijpen, gesprekken over HR- en personeelgerelateerde thema’s  kunnen voeren, een tekst over HR- en personeelgerelateerde thema’s  kunnen opstellen, een beschrijving kunnen geven van ervaringen en gebeurtenissen die optreden op het werk.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regels voor het onthaal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agendabeheer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technieken om nota te nemen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dossierbeheer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zakelijk communicatie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kantoorsoftware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registratietechnieken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redactionele 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rapporteringstechnieken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vergadertechnieken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timemanagement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>Specifieke kennis</w:t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personeelsbeheer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loonberekening en -administratie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selectie- en wervingsprocedure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HR-beleid (opleidingen, people management, verloningen, compensatie, ….)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HR-software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arbeidsreglementering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personeelsorganisatie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bedrijfscultuur en -procedures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structuren en organisatie van HR-dienstverlening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bedrijfsprocessen ifv het uitvoeren van het eigen takenpakket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personeelsbeleid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bedrijfscultuur en -procedures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vacatures op volgens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Verspreidt de vacatures via verschillende kanalen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Screent de verschillende CV’s en motivatiebrieven aan de hand van het vereiste profiel  en sorteert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telefonisch een preselectie uit aan de hand van een standaardvragenlijst en –procedure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Nodigt, na overleg, potentiële  kandidaten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 de sollicitatiegesprekken efficiënt in en volgt deze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praktische ondersteuning bij interne assessments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Beantwoordt de niet weerhouden kandidaten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 (tekstverwerking, rekenblad,...)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en controleert gegevens (attesten, tijdsregistratie, wijzigingen personeel, dienstverplaatsingen, onkosten,….)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verlofadministratie en ziektemeldingen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Berekent verloftegoeden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opzoekingen om dossiers te vervolledigen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Registreert, klasseert en beheert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arbeidscontracten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het beëindigen van een arbeidscontract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nodige documenten op in functie van tijdelijke arbeidskrachten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gegevens aan bij in- en uitstroom of doorstroom van personeel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bijzonderheden of afwijkingen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Dient de wettelijke personeelsaangifte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Beantwoordt individuele vragen van het personeel (telefonisch, schriftelijk)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FR-softwarepakket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opleidingsbehoeften en -noden van/voor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Analyseert verslagen en data om opleidingsbehoeften en -noden te inventariseren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opleidingsactiviteiten voor op basis van geïnventariseerde behoeften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met de verantwoordelijke over de mogelijke opleidingen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Vraagt opleidingen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Noteert aangevraagde/gevolgde opleidingen in het personeelsdossier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opleidingsactiviteiten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evaluaties van de opleiding en het aanbod op volgens het HR-beleid van de organisatie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beleidsondersteunende gegevens (ziekteverzuim, deeltijds werk,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tabellen en grafieken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tewerkstellingsmaatregelen, tijdskrediet, deeltijdse arbeid, zwangerschappen,…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Zoekt arbeidswetgeving op via gespecialiseerde databanken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wijzigingen in de sociale wetgeving en aanpassingen in de CAO’s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gegevens op zijn correctheid rekening houdend met de sociale wetgeving en het arbeidsrecht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Wint advies in van derden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het stappenplan van de verkiezingsprocedure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Verzorgt de praktische organisatie van de sociale verkiezingen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de raad of het comité over de technische bedrijfseenheid, het aantal werknemers, de directiefuncties en de kaderfuncties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de verkiezingsdatum en de kandidatenlijst bekend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welke tuchtmaatregelen in het arbeidsreglement voorzien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het dossier aan met bewijsmateriaal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formaliteiten in orde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verslag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Bezorgt documenten aan de nieuwe werknemers (arbeidsreglement, ontvangstbewijs, bedrijfsethiek, onthaalbrochure,….)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nieuwe werknemers voor aan de personeelsleden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uitleg over regels, procedures, arbeidsvoorwaarden, documenten,…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software voor loonberekening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nodige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Beheert extra legale voordelen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gegevens op hun juistheid en volledigheid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standaardberekeningen uit (loon, pensioen, sociale bijdrage,…) rekening houdend met aan- en afwezigheden, premies,…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belastingwetgeving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Staat in voor de administratieve verwerking bij zwangerschappen, profilactische regelingen, ziekte, 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vertrouwelijk om met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administratie van tijdelijke werknemers (uitzendkrachten, stagiares,…)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interne verschuivingen, overplaatsing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Treft de nodige administratieve regelingen bij in pensioenstelling, ontslag, verlofstelsels, afwezigheden…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Wisselt informatie uit met het sociaal secretariaat, uitzendbureaus,…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Fungeert als aanspreekpunt tussen werknemers en het sociaal secretariaat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op of afspraken nageleefd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op geregelde tijdstippen het contract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een HR-softwarepakket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Digitaliseert, verwerkt en controleert documenten, data en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helder, duidelijk en op een zakelijke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instrumenten voor de opvolging van de activiteit van de organisatie/afdeling en maakt en werkt situatieoverzichten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commerciële handelingen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vergaderingen en stelt verslagen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bedrijfscultuur, procedures en regels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confidentieel om met bedrijfsgerelateerde 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de werkplek veilig, ordelijk en milieubewust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integer en respectvol om met klanten/collega’s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 voor een goede overlegsituatie met de klant/collega’s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Wekt geen onrealiseerbare verwachtingen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aandacht op de wensen en de belangen van de klanten en op de samenwerking met collega’s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Probeert zich in de wensen en problemen van de klant/collega in te leven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zich over de ontwikkelingen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de behoefte aan verdere ontwikkeling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nieuwe evoluties op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Verwerft nieuwe kennis en vaardigheden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Deelt kennis met collega's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Inventariseert problemen (databanken, eigen administratie,…)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Analyseert de aard van de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Merkt problemen op en signaleert ze in aan de leidinggevende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Werkt een passende oplossing uit voor problemen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Zoekt naar oplossingen om problemen te voorkomen binnen het eigen takenpakket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Gaat authentiek om met bezwaren, weerstand en klachten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meestal uitgeoefend in een kantooromgeving.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varieert naargelang de grootte van het bedrijf en volgens de bedrijfsactiviteiten.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bedrijfsprocedures en -cultuur bepaalt de werkcontext waarnaar de beroepsbeoefenaar zich moet schikken.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wordt uitsluitend uitgeoefend in een dag-systeem.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werkdruk kan variëren en pieken bereiken naargelang de noden van en de situatie in het bedrijf.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takenpakket is vrij gevarieerd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Voor een aantal taken zijn procedures uitgetekend.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beheren van individuele HR-dossiers vergt flexibiliteit en kan zorgen voor afwijkende procedures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Individuele HR-vragen kunnen een persoonlijke aanpak en verwerking eisen.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prioriteiten stellen binnen het eigen takenpakket en,  indien nodig, doorgeven.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Binnen dit beroep is een goede communicatie belangrijk.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Sommige werkopdrachten verlopen volgens een regelmaat en moeten binnen de voorzien tijd uitgevoerd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alleen of in teamverband uitgeoefend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is gebonden aan normen en reglementering inzake veiligheid, gezondheid, hygiëne, welzijn, milieu en vestiging.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uitvoering van bepaalde taken is onderhevig aan digitalisering en automatisering.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dient tijdens de uitvoering van de opdracht zorgvuldig en vertrouwelijk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Voortdurend aandacht hebben voor tijdige aflevering en uitvoering van de opdrachten.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Efficiënt, kwaliteitsvol, ethisch en integer handelen in alle omstandigheden.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Zorgvuldig, economisch en ecologisch en handelen.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Handelt volgens de wetgeving en het HR-beleid van de organisatie.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Efficiënt communiceren met leidinggevende(n), collega’s, personeel, sollicitanten en externe HR-dienstverleners.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is sociaal vaardig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Stelt zich empatisch en positief assertief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beantwoorden van HR-vragen vergt een individuele aanpak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beheren van HR-dossiers vraagt nauwgezet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Gaat discreet om met informatie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Is bereid om zaken aan te leren en anders aan te pakken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voorbereiden, nauwkeurig uitvoeren en controleren van de opdracht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bepalen van de volgorde van de uitvoering van de eigen opdrachten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bepalen van de wijze waarop de eigen opdracht worden uitgevoerd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beheren van personeelsdossiers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zelf oplossen van problemen en onregelmatigheden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melden van problemen aan de verantwoordelijke indien deze niet zelf op te lossen zijn.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van diensten geleverd door externe HR-dienstverleners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beantwoorden van HR-vragen die tot zijn takenpakket/bevoegdheid behoren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voeren van efficiënt communicatie met leidinggevende(n), collega’s, personeel, sollicitanten en externe HR-dienstverleners.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opvolgen en informeren van het personeel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opvolgen van nieuwe ontwikkelingen en regelgeving rond HR.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oplossingsgericht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doelgroepgericht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uitvoeren van commerciële handelingen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ontwikkelen van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eindcontrole van een beperkt aantal opdrachten (vacatures,…)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opgelegde timing of noodzakelijk tijdstip voor de uitvoering van de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geldende regels en bepaalde procedures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bedrijfscultuur, het HR-beleid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sociale wetgeving, arbeidsreglement, cao’s, verzekeringscontracten,…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afspraken met HR-dienstverleners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beschikbaarheid en de mogelijkheden van het personeel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het te volgen HR-beleid.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de opdracht en de aanpak van bepaalde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team/collega’s voor het inwinnen van informatie om taken af te kunnen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externe HR-dienstverleners om hun diensten op te volgen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verantwoordelijke indien problemen niet zelf op te lossen zijn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Organiseert en ondersteunt het proces van werving en selectie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Maakt individuele dossiers van werknemers aan, volgt op en voert updates door, rekening houdend met de actuele wetgeving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Vertaalt opleidingsbehoeften en -noden naar opleidingsinitiatieven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Actualiseert en werkt documenten uit om het HR-beleid te evalueren en bij te sturen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Licht het personeel in over sociale wetgeving en specifieke kenmerken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Verzorgt de praktische organisatie van de sociale verkiezingen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behandeling van tuchtmaatregelen en relaties met wettelijke instanties (arbeidsinspectie, arbeidsrechtbank, ...)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Verwelkomt nieuwe werknemers en bevordert hun integratie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voert loongegevens in (premies, uitkeringen, maandelijkse salarissen, inhoudingen, ...)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Beheert en volgt het volledige personeelsbestand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contracten voor de outsourcing van diensten (betaling, werving, opleiding, ...)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ondersteunend en loyaal t.a.v. de afdeling/organisatie 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oplossingsgericht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doelgroepgericht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permanent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20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