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0237</w:t>
      </w:r>
      <w:r>
        <w:t>)</w:t>
      </w:r>
    </w:p>
    <w:p w:rsidR="003B07E1" w:rsidRDefault="003B07E1" w:rsidP="003B07E1">
      <w:pPr>
        <w:pStyle w:val="DossierTitel"/>
      </w:pPr>
      <w:r>
        <w:t>Pijplasser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Pijplasser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De pijplasser last hoeknaadverbindingen, plaatverbindingen en pijpverbindingen met het halfautomaat proces (massieve en gevulde draad), het elektrode lasproces (rutiel en basisch beklede elektrode) en  TIG-proces teneinde een lasverbinding  in koolstofstaal te realiseren die voldoet aan de geldende internationale normen, de lasmethodebeschrijving  en het lasplan.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2016</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01635)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werkdocumenten bij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leidinggevenden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Organiseert de taken in functie van een dagplanning  (co 01636)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Treft voorbereidingen om de opdracht optimaal uit te voeren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en begrijpt het lasplan en de lasmethodebeschrijving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veiligheid, milieu, kwaliteit en welzijn  (co 01123)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over veiligheid, gezondheid en milieu</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zuinig om met materialen, gereedschappen, tijd en vermijdt verspilling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voor traceerbaarheid van producten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en beschermt het milieu</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ergonomisch met gebruik van hefwerktuigen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hef- en hijswerktuigen volgens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aanwezigheid van en gebruikt persoonlijke en collectieve beschermingsmiddelen (PBM’s en CBM’s) volgens de specifieke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de eigen werkplek in volgens voorschriften, instructies of werkvergunning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gepaste maatregelen volgens de veiligheidsvoorschriften bij ongelukken met en opslag van gevaarlijke producten of werken met open vlam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Slaat gereedschappen en materiaal op</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Gebruikt machines, gereedschappen en hulpstoffen (co 01638)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staat van machines en gereedschappen voor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machines en gereedschappen op een veilige en efficiënte manier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draaitafels en laskalibers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en controleert de machines en gereedschappen na op zichtbare gebreken en degelijkheid na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Voorziet beschermgas aan de binnenzijde van de profielen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de stukken samen, afhankelijk van hoe ze binnenkomen (co 01639)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een eerste kwaliteitscontrole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Tekent af  dat hij gecontroleerd heeft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Bereidt een werkstuk voor (co 01640)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Verwijdert bramen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de te hechten onderdelen zuiver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afmetingen van de lasnaadvoorbereidingen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Tekent de plaats en de positie van de te lassen onderdelen af volgens het montageplan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Klemt het laswerkstuk vast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Verwarmt indien nodig de onderdelen van het laswerkstuk voor met een gasbrander of in een oven, in overeenstemming met de voorschriften van de  lasmethodebeschrijving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het werkstuk met de vooropening zoals het montageplan voorschrijft, rekening houdend met de invloed van krimp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Hecht het laswerkstuk met een beperkt aantal hechten zodat de uitlijning en de vooropening bewaard blijven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Regelt de laspost (co 01643)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de massakabel vast op of bij het laswerkwerkstuk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parameters op de laspost in  op de waarden die de lasmethodebeschrijving vermeldt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welke parameters bijgeregeld moeten worden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Regelt parameters bij indien nodig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Last de hoeknaadverbinding in alle lasposities (H291301 Id30556)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een testlas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Beheerst de lengte van de vlamboog en uitsteeklengte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Last met een duw of trekbeweging, aangepast aan het lasproces, de - laspositie en het materiaal van het werkstuk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Beweegt de lastoorts in de lasrichting van de lasverbinding zodat het smeltbad goed zichtbaar blijft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Beheerst  de voortloopsnelheid  om te voldoen aan de lasmethodebeschrijving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lastoorts onder een constante hoek zowel in de lengterichting als in de dwarsrichting zodat de hoeknaadverbinding overal volledig en gelijkmatig is ingebrand en geometrisch uniform is.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Bewaakt de kwaliteit aan de hand van de parameters die de lasmethodebeschrijving opgeeft</w:t>
      </w:r>
      <w:r w:rsidRPr="00127D6A">
        <w:rPr>
          <w:rFonts w:cstheme="minorHAnsi"/>
          <w:color w:val="FF0000"/>
        </w:rPr>
        <w:t/>
      </w:r>
    </w:p>
    <w:p w:rsidR="002C5C20" w:rsidRPr="002C5C20" w:rsidRDefault="002C5C20" w:rsidP="002C5C20">
      <w:pPr>
        <w:pStyle w:val="Voetnoot"/>
      </w:pPr>
      <w:r w:rsidRPr="00362EDF">
        <w:t/>
      </w:r>
      <w:r w:rsidRPr="006D6AE0">
        <w:br/>
        <w:t>uitsteeklengte: enkel relevant bij TIG en halfautomaatlassen</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Last de stompe plaatlas in alle lasposities (H291301 Id30557)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een testlas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Beheerst de lengte van de vlamboog en uitsteeklengte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Last met een duw of trekbeweging, aangepast aan het lasproces, de laspositie en het materiaal van het werkstuk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Beweegt  de lastoorts in de lasrichting van de lasverbinding zodat het smeltbad goed zichtbaar blijft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Beheerst de voortloopsnelheid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lastoorts onder een constante hoek zowel in de lengterichting als in de dwarsrichting zodat de plaatverbinding overal volledig en gelijkmatig is ingebrand en geometrisch uniform is.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Bewaakt de kwaliteit aan de hand van de parameters die de lasmethodebeschrijving opgeeft</w:t>
      </w:r>
      <w:r w:rsidRPr="00127D6A">
        <w:rPr>
          <w:rFonts w:cstheme="minorHAnsi"/>
          <w:color w:val="FF0000"/>
        </w:rPr>
        <w:t/>
      </w:r>
    </w:p>
    <w:p w:rsidR="002C5C20" w:rsidRPr="002C5C20" w:rsidRDefault="002C5C20" w:rsidP="002C5C20">
      <w:pPr>
        <w:pStyle w:val="Voetnoot"/>
      </w:pPr>
      <w:r w:rsidRPr="00362EDF">
        <w:t/>
      </w:r>
      <w:r w:rsidRPr="006D6AE0">
        <w:br/>
        <w:t>uitsteeklengte: enkel relevant bij TIG</w:t>
      </w:r>
      <w:r>
        <w:br/>
      </w:r>
      <w:r>
        <w:t>lastoorts: TIG en halfautomaat</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Last de pijpverbinding in alle lasposities (H291301 Id-c)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een testlas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Beheerst de lengte van de vlamboog en de uitsteeklengte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Beheerst de voortloopsnelheid om te voldoen aan de lasmethodebeschrijving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Realiseert een lasverbinding met doorlas op holle profielen met of zonder beschermgas, in horizontale en verticale posities en posities onder een willekeurige hoek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elektrode of de lastoorts onder een constante hoek zowel in de lengterichting als in de dwarsrichting zodat de pijpverbinding overal volledig en gelijkmatig is doorgelast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Bewaakt de kwaliteit aan de hand van de parameters die de lasmethodebeschrijving opgeeft</w:t>
      </w:r>
      <w:r w:rsidRPr="00127D6A">
        <w:rPr>
          <w:rFonts w:cstheme="minorHAnsi"/>
          <w:color w:val="FF0000"/>
        </w:rPr>
        <w:t/>
      </w:r>
    </w:p>
    <w:p w:rsidR="002C5C20" w:rsidRPr="002C5C20" w:rsidRDefault="002C5C20" w:rsidP="002C5C20">
      <w:pPr>
        <w:pStyle w:val="Voetnoot"/>
      </w:pPr>
      <w:r w:rsidRPr="00362EDF">
        <w:t/>
      </w:r>
      <w:r w:rsidRPr="006D6AE0">
        <w:br/>
        <w:t>uitsteeklengte: enkel relevant bij TIG en halfautomaat</w:t>
      </w:r>
      <w:r>
        <w:br/>
      </w:r>
      <w:r>
        <w:t>lastoorts: TIG en halfautomaat</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de las af (H291301 Id11121)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Verwijdert  lasspatten zonder de las en het metaaloppervlak te beschadigen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Slijpt de las vlak indien nodig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een kwaliteitscontrole uit  (H291301 Id671-c)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visueel volgens ISO 5817; 2014 (B,C of 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een penetrant-test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een foute las</w:t>
      </w:r>
      <w:r w:rsidRPr="00127D6A">
        <w:rPr>
          <w:rFonts w:cstheme="minorHAnsi"/>
          <w:color w:val="FF0000"/>
        </w:rPr>
        <w:t/>
      </w:r>
    </w:p>
    <w:p w:rsidR="002C5C20" w:rsidRPr="002C5C20" w:rsidRDefault="002C5C20" w:rsidP="002C5C20">
      <w:pPr>
        <w:pStyle w:val="Voetnoot"/>
      </w:pPr>
      <w:r w:rsidRPr="00362EDF">
        <w:t/>
      </w:r>
      <w:r w:rsidRPr="006D6AE0">
        <w:br/>
        <w:t>Penetrantonderzoek is een niet-destructief onderzoek dat toelaat om uittredende scheuren, poriên en putjes en uittredende opppervlaktefouten te detecteren in verschillende stadia van de fabricage</w:t>
      </w:r>
      <w:r w:rsidRPr="006D6AE0">
        <w:br/>
      </w: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veiligheids-, gezondheids-, hygiëne- en welzijnsvoorschriften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metaalbewerking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opbouw en werking van het product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ISO lasserkwalificatienormen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productieprocedure en kwaliteitscontrole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beschermingsmiddelen aangepast aan de werkomstandigheden: CBM’s , PBM’s, pictogrammen en etiketten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van inzameling van afvalstoffen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werkdocumenten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lasmethodebeschrijving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halfautomaat  (massieve en gevulde draad)lasprocédé</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basisch beklede elektrode lasprocédé</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TIG lasprocédé</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lezen van constructietekeningen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acceptatiecriteria voor visueel waarneembare fouten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ennis van acceptatiecriteria voor inwendige lasfouten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ennis van breekproef en plooiproef</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ennis van niet-destructief onderzoek: penetrantonderzoek, ultrasoon en RX</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kwaliteitseisen van het eigen bedrijf</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maatvoering en maattoleranties  ISO 5817; 2014 (B,C of 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eigenschappen en van de naamgeving van constructiestaal, koolstofstaal, aluminium en roestvast staal en de toepasselijke toevoegmaterialen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meetinstrumenten en meetmethodes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lasparameters bij halfautomaat, TIG en elektrode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instellen en bedienen van lasapparatuur (halfautomaat, TIG en elektrode)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machines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draaitafels en laskalibers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hulpstoffen: beschermgas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aanbrengen van laskanten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en middelen voor het schoonmaken van de werkplek</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uitwisselen van informatie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bijhouden van werkdocumenten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rapporteren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treffen van voorbereidingen om de opdracht optimaal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en begrijpen van het lasplan en de lasmethodebeschrijving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kunnen houden aan de regels over veiligheid, gezondheid en milieu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zuinig kunnen omgaan om met materialen, gereedschappen, tijd en het kunnen vermijden van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kunnen houden aan de regels voor traceerbaarheid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sorteren van afval en beschermt het milieu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aanwezigheid van en het kunnen gebruiken van persoonlijke en collectieve beschermingsmiddelen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inrichten van de eigen werkplek  volgens voorschriften en/of instructies of werkvergunning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houden van een eerste kwaliteitscontrole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afmetingen van de lasnaadvoorbereidingen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aftekenen van de plaats en de positie van de te lassen onderdelen volgens het montageplan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instellen van de parameters op de laspost  op de waarden die de lasmethodebeschrijving vermeldt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welke parameters bijgeregeld moeten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bijregelen van de parameters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visueel kunnen controleren volgens ISO 5817; 2014 (B,C of 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een penetrant-test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bewaken van de kwaliteit aan de hand van de parameters die de lasmethodebeschrijving opgeeft</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nemen van gepaste maatregelen  volgens de veiligheidsvoorschriften bij ongelukken met  en opslag van gevaarlijke producten of het werken met open vlam</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melden van problemen aan de leidinggevende</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ergonomisch kunnen werken met gebruik van hefwerktuigen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hef- en hijswerktuigen volgens voorschriften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opslaan van gereedschappen en materiaal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controleren van de staat van machines en gereedschappen voor gebruik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machines en gereedschappen op een veilige en efficiënte manier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en controleren van de machines en gereedschappen op zichtbare gebreken en degelijkheid na gebruik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beheersen van de lengte van de vlamboog en de uitsteeklengte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lassen met een duw of trekbeweging, aangepast aan het lasproces, de - laspositie en het materiaal van het werkstuk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bewegen van de lastoorts in de lasrichting van de lasverbinding zodat het smeltbad goed zichtbaar blijft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beheersen van  de voortloopsnelheid  om te voldoen aan de lasmethodebeschrijving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onder een constante hoek kunnen houden van de de lastoorts zowel in de lengterichting als in de dwarsrichting zodat de lasverbinding overal volledig en gelijkmatig is ingebrand en geometrisch uniform is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herstellen van een foute las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verwijderen van lasspatten zonder de las en het metaaloppervlak te beschadigen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vlak slijpen van de las indien nodig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een testlas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verwijderen van bramen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zuiver kunnen maken van de te hechten onderdelen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vastklemmen van het laswerkstuk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indien nodig kunnen voorverwarmen van de onderdelen van het laswerkstuk met een gasbrander of in een oven, in overeenstemming met de voorschriften van de  lasmethodebeschrijving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van het werkstuk met de vooropening zoals het montageplan voorschrijft, rekening houdend met de invloed van krimp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hechten van het laswerkstuk met een beperkt aantal hechten zodat de uitlijning en de vooropening bewaard blijven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vastmaken van de massakabel op of bij het laswerkwerkstuk</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van pijplasser is ruim verspreid in alle sectoren en wordt onder andere uitgeoefend in de metaalconstructie, in onderhoudsactiviteiten voor de nucleaire, petrochemische en farmaceutische industrie en voedingsindustrie, in de metaalverwerkende industrie, bij de vervaardiging van halffabricaten en in de bouwsector, bijvoorbeeld voor het vervaardigen van trappen, leuningen en industriebouw.</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pijplasser voert laswerk uit binnen het eigen bedrijf of op locatie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complexiteit van de werkzaamheden wordt bepaald door de nodige materialenkennis, de lasposities, de variatie en verscheidenheid van de taken, het soort van product, de kwaliteitseisen, de normen waaraan het product moet voldoen conform de lasmethodebeschrijving en het lasplan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meestal in team uitgeoefend, waarbij de nodige flexibiliteit belangrijk is om zich aan te passen aan wijzigingen van planning en omgeving.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worden strikt afgebakend en er heersen in veel gevallen deadlines, wat resultaatgerichtheid, stressbestendigheid, concentratie, flexibiliteit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sector kent veel reglementeringen, normen, aanbevelingen, codes van goede praktijk en technische voorlichtingsfiches inzake kwaliteit, veiligheid, gezondheid, hygiëne, welzijn, milieu en duurzaam bouwen.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Typische risico's zijn vallende lasten, onvoldoende stabiliteit van de constructie tijdens de fabricatie en elektrocutie</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pijplasser heeft oog  voor kwaliteit en de tevredenheid van de klant door met zorg, precisie en toewijding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is in staat om op een contactvaardige, duidelijke  en constructieve manier informatie uit te wisselen met collega’s, derden en opdrachtgevers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heeft aandacht voor ergonomie omdat hij regelmatig lasten moet dragen en in moeilijke posities en op moeilijk bereikbare plaatsen moet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heeft aandacht  voor gevaarlijke situaties, respecteert veiligheidssignalisatie, PBM’s en CBM’s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gaat omzichtig om met grondstoffen en producten, rekening houdend met veiligheids-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blijft bij in de ontwikkelingen binnen de sector, is leergierig en volgt opgelegde opleidingen in het kader van persoonlijke certificering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hoe hij veilig  en milieubewust werkt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regelen van de laspost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lassen van een hoeknaadverbinding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lassen van een stompe plaatlas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lassen van een pijpverbinding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afwerken van de las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kwaliteit van zijn werk</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lasplan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lasmethodebeschrijving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werkdocumenten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alle veiligheids-, hygiëne- en welzijnsvoorschriften in het stellen van handelingen in het kader van zijn eigen werk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werkvergunning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afspraken met collega’s en opdrachtgevers</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bevoegd persoon indien hij een probleem niet opgelost krijgt binnen en buiten het eigen vakgebied en bij het opmerken van een gevaarlijke situatie</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van de taken in functie van een dagplanning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milieubewust en kwaliteitsvol uitvoeren van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gebruiken van gepaste machines en gereedschappen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en samenstellen van een werkstuk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regelen van de laspost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lassen van een hoeknaadverbinding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lassen van een stompe plaatlas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lassen van een pijpverbinding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afwerken van de las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kwaliteit van het eigen werk</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Geen vereisten.</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De industrieel internationale economische markt bepaalt dat het beroep van de lasser onderworpen is aan persoonlijke certificatie op basis van internationaal geldende normen. Door de toenemende globalisering en eisen van kwaliteitsborging wint de certificering aan belang.</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