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0430</w:t>
      </w:r>
      <w:r>
        <w:t>)</w:t>
      </w:r>
    </w:p>
    <w:p w:rsidR="003B07E1" w:rsidRDefault="003B07E1" w:rsidP="003B07E1">
      <w:pPr>
        <w:pStyle w:val="DossierTitel"/>
      </w:pPr>
      <w:r>
        <w:t>Art-handler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Art-handler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art-handler manipuleert, verpakt, verplaatst en installeert de erfgoed- en kunstobjecten teneinde deze zo veilig mogelijk van één locatie naar een andere (tentoonstellingsruimte, erfgoeddepot) te brengen.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deskundigheid (co 03128)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Blijft op de hoogte van relevante nieuwe inzichten en methodes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een netwerk met collega-erfgoedwerkers binnen en buiten de organisatie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Gaat op een deontologische manier om met erfgoed (co 03129)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specifieke deontologische codes toe </w:t>
      </w:r>
      <w:r w:rsidRPr="00127D6A">
        <w:rPr>
          <w:rFonts w:cstheme="minorHAnsi"/>
          <w:color w:val="FF0000"/>
        </w:rPr>
        <w:t/>
      </w:r>
    </w:p>
    <w:p w:rsidR="002C5C20" w:rsidRPr="002C5C20" w:rsidRDefault="002C5C20" w:rsidP="002C5C20">
      <w:pPr>
        <w:pStyle w:val="Voetnoot"/>
      </w:pPr>
      <w:r w:rsidRPr="00362EDF">
        <w:t/>
      </w:r>
      <w:r w:rsidRPr="006D6AE0">
        <w:br/>
        <w:t>ICOM (International Council of Museums), ECCO (European Confederation of Conservator-Restorers Organisations), IFLA (International Federation of Library Associations), ICA (International Council on Archives)</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Schat risico’s in voor het object aan de hand van de objectconditie en de materiaaltechnische/constructieaspecten van het object in overleg met de verantwoordelijke (co 03130)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kwetsbaarheid van materiaal(soort)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constructieopbouw in kaart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Detecteert zwakheden en zwaartepunten in de constructie</w:t>
      </w:r>
      <w:r w:rsidRPr="00127D6A">
        <w:rPr>
          <w:rFonts w:cstheme="minorHAnsi"/>
          <w:color w:val="FF0000"/>
        </w:rPr>
        <w:t/>
      </w:r>
    </w:p>
    <w:p w:rsidR="002C5C20" w:rsidRPr="002C5C20" w:rsidRDefault="002C5C20" w:rsidP="002C5C20">
      <w:pPr>
        <w:pStyle w:val="Voetnoot"/>
      </w:pPr>
      <w:r w:rsidRPr="00362EDF">
        <w:t/>
      </w:r>
      <w:r w:rsidRPr="006D6AE0">
        <w:br/>
        <w:t>De tien risicofactoren: water, verkeerde temperatuur, brand, verkeerde relatieve luchtvochtigheid, diefstal en vandalisme, verontreiniging, licht, ongedierte en schimmel, verlies van informatie, fysieke krachten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Reikt oplossingen aan om het object veilig en met zo weinig mogelijk risico te verplaatsen (co 03131)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maatregelen voor om gedetecteerde risico’s op te heffen zoals ondersteuning, veilige manipulatie en verplaatsing na overleg met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benodigde mankracht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meest geschikte route van verplaatsing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benodigde verplaatsingsmateriaal voor in functie van de objectnoden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Kiest voor een geschikte persoonlijke uitrusting in functie van een veilige, propere en schadevrije verplaatsing van objecten (co 03132)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conservatiegeschikte handschoenen (bijv. nitril, katoen,…)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de geschikte kledij (bijv. antistatisch, geen knopen, geen kettingen of juwelen, toegangsbadges,...)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alle mogelijke maatregelen om schade te vermijden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Schakelt bij schade aan het object onmiddellijk de verantwoordelijke expert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erover dat laadruimten van transportvoertuigen proper/zuiver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erop toe dat de ruimte tijdens verpakking veilig is (geen schilderwerken, geen stof, geen open ramen en deuren,…)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Zorgt voor de geschikte uitrusting in functie van de persoonlijke en collectieve veiligheid en een professionele werkruimte (co 03133)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geschikte beschermingsmiddelen (bijv. harnas voor werken op hoogte,...)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risico's in voor anderen en de omgeving (bijv. als het object omgeven is door brandbare vloeistof, als het object zelf toxische materialen/substanties bevat,...)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nodige maatregelen om de persoonlijke en collectieve veiligheid te garanderen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wettelijke richtlijnen rond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voldoende werkmateriaal (tafels, gereedschap, rollend materieel,…)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interne verplaatsing van objecten en veilige en deskundige handling uit in overleg met de verantwoordelijke (co 03135)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geschikte hulpmiddelen bij verplaatsing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geschikte hulpmiddelen bij verplaatsing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route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voorgestelde route indien nodig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Zorgt voor deskundige opstelling in functie van het object en de context in overleg met de verantwoordelijke (co 03136)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mogelijkheden van de ruimte in (draagkracht van muur, plafond en vloer)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bevestigingsmethode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ondersteuning (bijv. sokkel, verankering,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aard en conditie van het object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eenvoudige ondersteuningsvormen op maat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opstellingsplan nauwkeurig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Verpakt de objecten en pakt ze uit volgens de aanwijzingen van de verantwoordelijke (co 03137)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geschikt verpakkings- en buffermateriaal voor in functie van de objectveiligheid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het juiste buffermateriaal om schokken en trillingen op te vangen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maatregelen voor ter optimalisering van de verpakkingswijze/materialen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juiste labels (bijv. face up/face down, fragile, full/empty,…) en identificatiegegevens aan op verpakkingen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erover dat de gebruikte verpakkingsmaterialen en kisten veilig en proper zijn (vrij van stof, schimmel, ongedierte)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erover dat verpakkingsmateriaal niet verouderd of verzuurd is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het laden en lossen uit (co 03138)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geschikte hulpmiddelen bij verplaatsing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geschikte hulpmiddelen bij verplaatsing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bevestigt de (verpakte) objecten op optimale wijze in het transportvoertuig (sangels en steunen)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gesloten verpakkingen na verplaatsing op beschadigingen aan de objecten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eerste zorgen toe bij eventuele kwetsuren bij het laden en lossen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het externe transport van de objecten uit (co 03139)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route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voorgestelde route indien nodig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Laat het voertuig nooit onbeheerd achter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objectveilige verplaatsing en bevestiging door anderen (bijv. toezicht op de luchthaven op de objecten i.f.v. schokken bij het plaatsen en luchtweerstand tijdens de vlucht)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(vervoers)documenten ondertekend worden (bijv. CMR, pakbon,…)</w:t>
      </w:r>
      <w:r w:rsidRPr="00127D6A">
        <w:rPr>
          <w:rFonts w:cstheme="minorHAnsi"/>
          <w:color w:val="FF0000"/>
        </w:rPr>
        <w:t/>
      </w:r>
    </w:p>
    <w:p w:rsidR="002C5C20" w:rsidRPr="002C5C20" w:rsidRDefault="002C5C20" w:rsidP="002C5C20">
      <w:pPr>
        <w:pStyle w:val="Voetnoot"/>
      </w:pPr>
      <w:r w:rsidRPr="00362EDF">
        <w:t/>
      </w:r>
      <w:r w:rsidRPr="006D6AE0">
        <w:br/>
        <w:t>CMR (Conventie voor het Internationaal Vervoer van Zaken over de Weg)</w:t>
      </w:r>
      <w:r w:rsidRPr="006D6AE0">
        <w:br/>
      </w: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deontologische codes (ICOM, ECCO, IFLA, 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conservatiegeschikte verpakkingsmaterialen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meest voorkomende schadefactoren en risico’s die erfgoed kunnen bedreigen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diverse/aangepaste transportmaterialen voor verplaatsing van erfgoedobjecten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bediening van technische apparatuur en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constructie van ‘museaal’ geschikte ondersteuningsvormen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materiaal-technische en constructieaspecten van objecten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art-handlingstechnieken om kunst- en erfgoedobjecten te verplaatsen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relevante (nieuwe) inzichten en methodes voor transport en ondersteuning van objecten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correct labelen van verpakking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wettelijke richtlijnen van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vervoersdocumenten en douanevoorschriften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PBM: Persoonlijke beschermingsmiddelen en CBM: Collectieve beschermingsmiddelen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relevante nieuwe inzichten en 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een netwerk met collega-erfgoedwerkers binnen en buiten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specifieke deontologische codes toe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kwetsbaarheid van materiaal(soort)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constructieopbouw in 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zwakheden en zwaartepunten in de constructie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geschikte beschermingsmiddelen (bijv. harnas voor werken op hoogte,...)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geschikte hulpmiddelen bij verplaatsing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route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ondersteuning (bijv. sokkel, verankering,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aard en conditie van het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erover dat de gebruikte verpakkingsmaterialen en kisten veilig en proper zijn (vrij van stof, schimmel, ongedierte)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erover dat verpakkingsmateriaal niet verouderd of verzuurd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gesloten verpakkingen na verplaatsing op beschadigingen aan de objecten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route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het voertuig nooit onbeheerd achter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objectveilige verplaatsing en bevestiging door anderen (bijv. toezicht op de luchthaven op de objecten i.f.v. schokken bij het plaatsen en luchtweerstand tijdens de vlucht)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(vervoers)documenten ondertekend worden (bijv. CMR, pakbon,…)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conservatiegeschikte handschoenen (bijv. nitril, katoen,…)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geschikte kledij (bijv. antistatisch, geen knopen, geen kettingen of juwelen, toegangsbadges,...)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erover dat laadruimten van transportvoertuigen proper/zuiver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ruimte tijdens verpakking veilig is (geen schilderwerken, geen stof, geen open ramen en deuren,…)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wettelijke richtlijnen rond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voldoende werkmateriaal (tafels, gereedschap, rollend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mogelijkheden van de ruimte in (draagkracht van muur, plafond en vloer)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bevestigingsmethode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geschikte hulpmiddelen bij verplaatsing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benodigde mankracht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meest geschikte route van verplaatsing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benodigde verplaatsingsmateriaal voor in functie van de objectnoden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maatregelen voor ter optimalisering van de verpakkingswijze/materialen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maatregelen voor om gedetecteerde risico’s op te heffen zoals ondersteuning, veilige manipulatie en verplaatsing na overleg met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alle mogelijke maatregelen om schade te vermijden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Schakelt bij schade aan het object onmiddellijk de verantwoordelijke expert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de nodige maatregelen om de persoonlijke en collectieve veiligheid te garanderen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voorgestelde route indien nodig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voorgestelde route indien nodig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geschikt verpakkings- en buffermateriaal voor in functie van de objectveiligheid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risico's in voor anderen en de omgeving (bijv. als het object omgeven is door brandbare vloeistof, als het object zelf toxische materialen/substanties bevat,...)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eenvoudige ondersteuningsvormen op maat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het opstellingsplan nauwkeurig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het juiste buffermateriaal om schokken en trillingen op te vangen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de juiste labels (bijv. face up/face down, fragile, full/empty,…) en identificatiegegevens aan op verpakkingen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bevestigt de (verpakte) objecten op optimale wijze in het transportvoertuig (sangels en steunen)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geschikte hulpmiddelen bij verplaatsing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eerste zorgen toe bij eventuele kwetsuren bij het laden en lossen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geschikte hulpmiddelen bij verplaatsing</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in wisselende/verschillende omgevingen plaats (bijv. een depot, een museum, een tentoonstellingsruimte, een archief, een erfgoedbibliotheek, een kunstenaarsatelier, een restauratieatelier, een monument, een archeologische site, een landschappelijke site, een particuliere ruimte, een transitruimte op de luchthaven…)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voert uiteenlopende opdrachten uit met diverse materialen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impliceert de hantering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het methodisch en zeer nauwkeurig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onregelmatige werkuren (avond- en weekendwerk), lange werkdagen, internationale verplaatsingen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onder hoge tijdsdruk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beschikken over een uitstekend ruimtelijk en technisch inzicht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geduld, diplomatie en verantwoordelijkheidsgevoel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kwaliteitsvol omgaan met kunst- en erfgoedobjecten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objecten die onderhevig zijn aan omgevingsfactoren/degradatie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mogelijk toxische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constante aandacht omwille van omgang met behoud van vergankelijke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kunnen omgaan met een groot aantal personen die betrokken zijn bij transport en tentoonstellingsopbouw/afbouw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een breed gamma aan apparatuur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soms repetitieve handelingen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toegewezen taken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deontologische code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richtlijnen van de verantwoordelijke expert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expert of beheerder voor taken of keuzes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op een deontologische manier om met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Schat risico’s in voor het object aan de hand van de objectconditie en de materiaaltechnische/constructieaspecten van het object in overleg met de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Reikt oplossingen aan om het object veilig en met zo weinig mogelijk risico te verplaatsen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Kiest voor een geschikte persoonlijke uitrusting in functie van een veilige, propere en schadevrije verplaatsing van objecten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 geschikte uitrusting in functie van de persoonlijke en collectieve veiligheid en een professionele werkruimte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interne verplaatsing van objecten en veilige en deskundige handling uit in overleg met de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deskundige opstelling in functie van het object en de context in overleg met de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Verpakt de objecten en pakt ze uit volgens de aanwijzingen van de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het laden en lossen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het externe transport van de objecten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