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0301</w:t>
      </w:r>
      <w:r>
        <w:t>)</w:t>
      </w:r>
    </w:p>
    <w:p w:rsidR="003B07E1" w:rsidRDefault="003B07E1" w:rsidP="003B07E1">
      <w:pPr>
        <w:pStyle w:val="DossierTitel"/>
      </w:pPr>
      <w:r>
        <w:t>EPB-verslaggever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EPB-verslaggever</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 benaming ‘EPB-verslaggever’ wijkt af van de wettelijk titel ‘Verslaggever’. </w:t>
      </w:r>
      <w:r>
        <w:br/>
      </w:r>
      <w:r>
        <w:t>De keuze om het beroepskwalificatiedossier EPB-verslaggever te noemen is gemaakt omwille </w:t>
      </w:r>
      <w:r>
        <w:br/>
      </w:r>
      <w:r>
        <w:t>van de helderheid, herkenbaarheid en onderscheidend karakter t.o.v. andere dossiers (cfr. journalist).  </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Geeft advies aan de aangifteplichtige en het bouwteam  over het behalen van de EPB-eisen, beheert alle administratieve en technische stappen rekening houdend met de wettelijke voorschriften (EPB-eisen) teneinde de waarheidsgetrouwe/correcte EPB-aangifte op te maken en in te dienen voor vergunningsplichtige werken die aan de EPB-eisen moeten voldoen.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6</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2017</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E43AF4" w:rsidP="003B07E1">
      <w:pPr>
        <w:pStyle w:val="Titel1"/>
        <w:numPr>
          <w:ilvl w:val="0"/>
          <w:numId w:val="20"/>
        </w:numPr>
        <w:ind w:left="862" w:hanging="862"/>
      </w:pPr>
      <w:r>
        <w:rPr>
          <w:szCs w:val="44"/>
        </w:rPr>
        <w:lastRenderedPageBreak/>
        <w:t>Besc</w:t>
      </w:r>
      <w:r w:rsidR="0073671F">
        <w:rPr>
          <w:szCs w:val="44"/>
        </w:rPr>
        <w:t>h</w:t>
      </w:r>
      <w:r>
        <w:rPr>
          <w:szCs w:val="44"/>
        </w:rPr>
        <w:t>r</w:t>
      </w:r>
      <w:r w:rsidR="0073671F">
        <w:rPr>
          <w:szCs w:val="44"/>
        </w:rPr>
        <w:t>ijving van het beroep</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administratieve taken uit (co 02135)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kantoorsoftware (tekstverwerking, rekenblad, documentbeheer,...)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documenten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Verzamelt, registreert, klasseert en beheert informatie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Maakt de EPB-dossiers administratief en technisch op  (H120601 Id8282-c)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EPB-software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Leest, begrijpt en interpreteert plannen (ruimtelijk inzicht)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Leest, begrijpt en interpreteert de stavingsstukken (technische fiches, berekeningsnota’s van installaties, gebruikte materialen,…)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Meet, zo nodig, het gebouw (vensters, …) en ruimten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Berekent/bepaalt volumes en oppervlakten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richtlijnen en reglementering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informatiebronnen (handleidingen, literatuur, databanken, internetsites,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Staat als expert op vlak van energieprestatie van het gebouw de architect en de aangifteplichtige bij met zijn/haar advies gedurende het bouwproject (van concept tot oplevering)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Communiceert intern en extern  (H120601 Id23178-c)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uit met interne (collega’s, …) en externe partijen (aangifteplichtige, bouwteam, overheid,…)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informatie op een heldere en correcte manier over naar interne (collega’s, …) en externe partijen (aangifteplichtige, bouwteam overheid,…)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Draagt bij tot het goed functioneren van het bouwteam</w:t>
      </w:r>
      <w:r w:rsidRPr="00127D6A">
        <w:rPr>
          <w:rFonts w:cstheme="minorHAnsi"/>
          <w:color w:val="FF0000"/>
        </w:rPr>
        <w:t/>
      </w:r>
    </w:p>
    <w:p w:rsidR="002C5C20" w:rsidRPr="002C5C20" w:rsidRDefault="002C5C20" w:rsidP="002C5C20">
      <w:pPr>
        <w:pStyle w:val="Voetnoot"/>
      </w:pPr>
      <w:r w:rsidRPr="00362EDF">
        <w:t/>
      </w:r>
      <w:r w:rsidRPr="006D6AE0">
        <w:br/>
        <w:t>Bouwteam : bij het bouwproces betrokken partijen zoals EPB-verslaggever,  aannemers, installateurs, architecten, studiebureaus, investeerders, ontwikkelaars</w:t>
      </w:r>
      <w:r w:rsidRPr="006D6AE0">
        <w:br/>
      </w: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Beheert projecten technisch en administratief  (H120601 Id23737-c, M140201 Id23737-c/24395-c)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Beheert alle lopende dossiers gelijktijdig en volgt ze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de planning op van de lopende dossiers rekening houdend met de planning van de bouw</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Bewaakt de planning en stuurt deze constant bij</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projectplanning op (berekeningen, werfbezoeken, ...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het dossier en bijhorende wettelijke termijnen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het overzicht  over en beheert de gepresteerde uren in functie van de opdracht en facturatie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Ontwikkelt eigen deskundigheid en dat van het team  (H120601 Id17590-c/23178-c, M140201 Id18146-c)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Verbreedt en verbetert proactief  kennis en competenties (bijscholing,…)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de kennis op niveau door (recente) energietechnieken, producten en materialen en technieken op te volgen in relatie tot EPB (bouwknopen in constructies, hernieuwbare energie, isolatiematerialen, ...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Integreert nieuwe ervaringen in de dagdagelijkse werksituatie en combineert inzichten uit verschillende kennisdomeinen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wettelijk verplichte permanente vorming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de actuele EPB-regelgeving  op</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Stuurt, indien van toepassing, een intern team aan en stimuleert teamwerking  (co 02136)</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voor een duidelijke organisatiestructuur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activiteiten op elkaar 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voor een efficiënte samenwerking binnen het team</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Kan inschatten of informatie al dan niet verder kan of mag verspreid worden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Analyseert de noden en het ambitieniveau van het project in overleg met het bouwteam en vertaalt deze naar een optimaal EPB-advies binnen de regelgevende context en legt dit vast in een EPB-dossier (F110101 Id40989-c)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Staat de potentiële en bestaande klanten te woord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Verzamelt basisgegevens, verwachtingen over het ambitieniveau van het project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de noden samen van de individuele project en vertaalt deze naar de specifieke situatie van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Combineert en synthetiseert informatie van verschillende kennisdomeinen (wettelijke bepalingen, bouwfysische aspecten, technieken, ruimtelijke ordening, stabiliteit, brandveiligheid,…)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Staat als expert op vlak van energieprestatie van het gebouw de architect en de aangifteplichtige bij gedurende het concept van het bouwproject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Toets met het bouwteam af of een advies compatibel is met de randvoorwaarden van het project (ruimtelijke ordening en stabiliteit, technieken…)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Bestudeert in de conceptfase in wisselwerking met het bouwteam de haalbaarheid van verschillende energetische niveaus en synthetiseert vanuit zijn energie-expertise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Beheerst de rekenmethodiek en schat in welke impact de wijzigende parameters zullen hebben het concept van het bouwproject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een ventilatie-voorontwerp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Adviseert tijdens de conceptfase één of meerdere in de praktijk uitvoerbare voorstellen op maat van de unieke praktijksituatie in overleg met het bouwteam en koppelt terug naar de klant/het bouwteam</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Motiveert zijn bepaalde keuzes/afwegingen, geeft bijstand bij het maken van de definitieve keuzes in de conceptfase</w:t>
      </w:r>
      <w:r w:rsidRPr="00127D6A">
        <w:rPr>
          <w:rFonts w:cstheme="minorHAnsi"/>
          <w:color w:val="FF0000"/>
        </w:rPr>
        <w:t/>
      </w:r>
    </w:p>
    <w:p w:rsidR="002C5C20" w:rsidRPr="002C5C20" w:rsidRDefault="002C5C20" w:rsidP="002C5C20">
      <w:pPr>
        <w:pStyle w:val="Voetnoot"/>
      </w:pPr>
      <w:r w:rsidRPr="00362EDF">
        <w:t/>
      </w:r>
      <w:r w:rsidRPr="006D6AE0">
        <w:br/>
        <w:t>EPB-dossier: volledige traject, van het eerste contact tot EPB-aangifte </w:t>
      </w:r>
      <w:r w:rsidRPr="006D6AE0">
        <w:br/>
      </w: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Verzamelt informatie over het project en maakt een werkinschatting voor de offerte (co 02137)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Verzamelt informatie om te komen tot een volledige offerte en contract tussen aangifteplichtige en verslaggever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Schat omvang en complexiteit van opdracht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een werkinschatting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nood aan bijkomende expertise vast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bijkomende toelichting bij de offerte en/of contract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Reageert gepast op mogelijke vragen voor bijkomend advies bovenop de wettelijke taken   (co 02138)</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Identificeert het probleem/de vraag voor bijkomend advies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Analyseert het probleem/de vraag voor bijkomend advies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Schat omvang en complexiteit voor het bijkomend advies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een werkinschatting voor het bijkomend advies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nood aan bijkomende expertise vast en verwijst zo nodig door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bijkomende toelichting bij de offerte en/of contract voor bijkomend advies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Schat de impact van het bijkomend advies in verschillende aspecten van het bouwproject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ervoor dat de voorstellen in het bijkomend advies uitvoerbaar en consequent zijn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een bijkomend advies en/of rapport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Schat de consequenties op energetisch gebied van het bijkomend advies op het bouwproject en de eigen verantwoordelijkheid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Handelt in situaties die niet voorzien (bv inbraakrisico ) zijn in de wetgeving vanuit eigen expertise en gezond verstand</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S</w:t>
      </w:r>
      <w:r w:rsidR="00597ADE">
        <w:rPr>
          <w:b/>
          <w:color w:val="595959" w:themeColor="text1" w:themeTint="A6"/>
          <w:sz w:val="26"/>
          <w:szCs w:val="26"/>
        </w:rPr>
        <w:t>pecifieke activiteiten</w:t>
      </w:r>
    </w:p>
    <w:p w:rsidR="002C5C20" w:rsidRPr="00F0058F" w:rsidRDefault="002C5C20" w:rsidP="002C5C20">
      <w:pPr>
        <w:spacing w:after="0" w:line="240" w:lineRule="auto"/>
      </w:pPr>
      <w:r w:rsidRPr="00127D6A">
        <w:rPr>
          <w:color w:val="FF0000"/>
        </w:rPr>
        <w:t/>
      </w:r>
      <w:r>
        <w:rPr>
          <w:color w:val="FF0000"/>
        </w:rPr>
        <w:t/>
      </w:r>
    </w:p>
    <w:p w:rsidR="002C5C20" w:rsidRDefault="002C5C20" w:rsidP="002C5C20">
      <w:pPr>
        <w:spacing w:after="0" w:line="240" w:lineRule="auto"/>
        <w:rPr>
          <w:u w:val="single"/>
        </w:rPr>
      </w:pPr>
      <w:r w:rsidRPr="00CB1037">
        <w:rPr>
          <w:u w:val="single"/>
        </w:rPr>
        <w:t>Opstart dossier</w:t>
      </w:r>
    </w:p>
    <w:p w:rsidR="002C5C20" w:rsidRPr="00F0058F" w:rsidRDefault="002C5C20" w:rsidP="002C5C20">
      <w:pPr>
        <w:spacing w:after="0" w:line="240" w:lineRule="auto"/>
      </w:pPr>
      <w:r w:rsidRPr="00F0058F">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Evalueert de behoeften van de aangifteplichtige en de doelstellingen en bepaalt het kader van de interventie </w:t>
      </w:r>
      <w:r>
        <w:rPr>
          <w:rFonts w:cstheme="minorHAnsi"/>
        </w:rPr>
        <w:t xml:space="preserve"> </w:t>
      </w:r>
      <w:r w:rsidRPr="00A4228D">
        <w:rPr>
          <w:rFonts w:cstheme="minorHAnsi"/>
        </w:rPr>
        <w:t>(F110101 Id17011-c/20280-c, M140201 Id22232-c)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Bespreekt met de aangifteplichtige en/of architect het project en de projecteisen, waaronder de wettelijke EPB-eisen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indien gewenst, verwachtingen/te behalen resultaten, het ambitieniveau en voorwaarden met de aangifteplichtige in samenspraak met de architect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Vraagt alle nodige informatie (administratieve gegevens, plannen, aard van het werk en bestemming van het gebouw en de voorziene maatregelen, materialen en technieken, …) op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een projectdossier samen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Beoordeelt de informatie en de situatie in functie van de beoogde doelstelling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Geeft advies in overleg met het bouwteam over te maken keuzes i.v.m. energieprestatie en binnenklimaat van het gebouw</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Geeft advies in overleg met het bouwteam over te maken keuzes i.v.m. ventilatie van het gebouw</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Maakt, indien gevraagd, een dossier voor uitzonderingsaanvraag op</w:t>
      </w:r>
      <w:r>
        <w:rPr>
          <w:rFonts w:cstheme="minorHAnsi"/>
        </w:rPr>
        <w:t xml:space="preserve"> </w:t>
      </w:r>
      <w:r w:rsidRPr="00A4228D">
        <w:rPr>
          <w:rFonts w:cstheme="minorHAnsi"/>
        </w:rPr>
        <w:t>(co 02141)</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Licht indien nodig de uitzonderingsprocedure toe en formuleert een visie over de haalbaarheid van een uitzonderingsaanvraag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Overlegt over mogelijke uitzonderingen met de aangifteplichtige en het bouwteam</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Onderbouwt de technische, functionele of economische onhaalbaarheid van één of meerdere van de EPB-eisen in samenwerking met het bouwteam</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de uitzonderingsaanvraag op vraag van de aangifteplichtige op zodat het binnen de wettelijke termijn verstuurd kan worden naar de bevoegde dienst van de Vlaamse overheid</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Maakt de voorafberekening op ter voorbereiding van de startverklaring </w:t>
      </w:r>
      <w:r>
        <w:rPr>
          <w:rFonts w:cstheme="minorHAnsi"/>
        </w:rPr>
        <w:t xml:space="preserve"> </w:t>
      </w:r>
      <w:r w:rsidRPr="00A4228D">
        <w:rPr>
          <w:rFonts w:cstheme="minorHAnsi"/>
        </w:rPr>
        <w:t>(H120601 Id10763-c/18530-c)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de EPB-berekeningen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Toetst het project af aan de EPB-eisen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Integreert adviezen en berekeningen vanuit diverse invalshoeken (bouwknopen, technieken,…)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Bestudeert de haalbaarheid van verschillende energetische niveaus, synthetiseert en adviseert één of meerdere voorstellen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Signaleert, indien de berekening aantoont dat het ontwerp niet zal voldoen aan de EPB-eisen of het gewenste ambitieniveau, dat aan de aangifteplichtige en aan de architect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Bespreekt de resultaten van de voorafberekening met de aangifteplichtige en de architect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Geeft aan de aangifteplichtige en aan de architect minstens één schriftelijk, niet-bindend advies over hoe ze kunnen voldoen aan de EPB-eisen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Geeft, indien gevraagd, bijkomend advies in overleg met bouwteam vanuit zijn externe energie-expertise over bijsturing van het ontwerp binnen de mogelijkheden, beperkingen en de belangen van de aangifteplichtige</w:t>
      </w:r>
      <w:r w:rsidRPr="00127D6A">
        <w:rPr>
          <w:rFonts w:cstheme="minorHAnsi"/>
          <w:color w:val="FF0000"/>
        </w:rPr>
        <w:t/>
      </w:r>
    </w:p>
    <w:p w:rsidR="002C5C20" w:rsidRPr="002C5C20" w:rsidRDefault="002C5C20" w:rsidP="002C5C20">
      <w:pPr>
        <w:pStyle w:val="Voetnoot"/>
      </w:pPr>
      <w:r w:rsidRPr="00362EDF">
        <w:t/>
      </w:r>
    </w:p>
    <w:p w:rsidR="002C5C20" w:rsidRPr="00F0058F" w:rsidRDefault="002C5C20" w:rsidP="002C5C20">
      <w:pPr>
        <w:spacing w:after="0" w:line="240" w:lineRule="auto"/>
      </w:pPr>
      <w:r w:rsidRPr="00127D6A">
        <w:rPr>
          <w:color w:val="FF0000"/>
        </w:rPr>
        <w:t/>
      </w:r>
      <w:r>
        <w:rPr>
          <w:color w:val="FF0000"/>
        </w:rPr>
        <w:t/>
      </w:r>
    </w:p>
    <w:p w:rsidR="002C5C20" w:rsidRDefault="002C5C20" w:rsidP="002C5C20">
      <w:pPr>
        <w:spacing w:after="0" w:line="240" w:lineRule="auto"/>
        <w:rPr>
          <w:u w:val="single"/>
        </w:rPr>
      </w:pPr>
      <w:r w:rsidRPr="00CB1037">
        <w:rPr>
          <w:u w:val="single"/>
        </w:rPr>
        <w:t>Startverklaring</w:t>
      </w:r>
    </w:p>
    <w:p w:rsidR="002C5C20" w:rsidRPr="00F0058F" w:rsidRDefault="002C5C20" w:rsidP="002C5C20">
      <w:pPr>
        <w:spacing w:after="0" w:line="240" w:lineRule="auto"/>
      </w:pPr>
      <w:r w:rsidRPr="00F0058F">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Dient de startverklaring in </w:t>
      </w:r>
      <w:r>
        <w:rPr>
          <w:rFonts w:cstheme="minorHAnsi"/>
        </w:rPr>
        <w:t xml:space="preserve"> </w:t>
      </w:r>
      <w:r w:rsidRPr="00A4228D">
        <w:rPr>
          <w:rFonts w:cstheme="minorHAnsi"/>
        </w:rPr>
        <w:t>(co 02142)</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Vraagt de gegevens voor de opmaak van de startverklaring  op en controleert de correctheid en volledigheid ervan voor de opmaak van de startverklaring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de voorlopige startverklaring conform de wetgeving op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Overlegt met de aangifteplichtige over de voorlopige startverklaring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Dient, in naam van de aangifteplichtige, de definitieve startverklaring in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Ontvangt van de bevoegde dienst van de Vlaamse overheid elektronisch de startverklaring die afgedrukt moet worden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Ondertekent de papieren versie van de startverklaring en legt deze ter ondertekening voor aan de aangifteplichtige en aan de architect die belast is met de controle van de werkzaamheden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de ondertekende versie van de startverklaring volgens de wettelijke termijn bij en stelt die op verzoek van de bevoegde dienst van de Vlaamse overheid ter beschikking</w:t>
      </w:r>
      <w:r w:rsidRPr="00127D6A">
        <w:rPr>
          <w:rFonts w:cstheme="minorHAnsi"/>
          <w:color w:val="FF0000"/>
        </w:rPr>
        <w:t/>
      </w:r>
    </w:p>
    <w:p w:rsidR="002C5C20" w:rsidRPr="002C5C20" w:rsidRDefault="002C5C20" w:rsidP="002C5C20">
      <w:pPr>
        <w:pStyle w:val="Voetnoot"/>
      </w:pPr>
      <w:r w:rsidRPr="00362EDF">
        <w:t/>
      </w:r>
    </w:p>
    <w:p w:rsidR="002C5C20" w:rsidRPr="00F0058F" w:rsidRDefault="002C5C20" w:rsidP="002C5C20">
      <w:pPr>
        <w:spacing w:after="0" w:line="240" w:lineRule="auto"/>
      </w:pPr>
      <w:r w:rsidRPr="00127D6A">
        <w:rPr>
          <w:color w:val="FF0000"/>
        </w:rPr>
        <w:t/>
      </w:r>
      <w:r>
        <w:rPr>
          <w:color w:val="FF0000"/>
        </w:rPr>
        <w:t/>
      </w:r>
    </w:p>
    <w:p w:rsidR="002C5C20" w:rsidRDefault="002C5C20" w:rsidP="002C5C20">
      <w:pPr>
        <w:spacing w:after="0" w:line="240" w:lineRule="auto"/>
        <w:rPr>
          <w:u w:val="single"/>
        </w:rPr>
      </w:pPr>
      <w:r w:rsidRPr="00CB1037">
        <w:rPr>
          <w:u w:val="single"/>
        </w:rPr>
        <w:t>EPB-aangifte</w:t>
      </w:r>
    </w:p>
    <w:p w:rsidR="002C5C20" w:rsidRPr="00F0058F" w:rsidRDefault="002C5C20" w:rsidP="002C5C20">
      <w:pPr>
        <w:spacing w:after="0" w:line="240" w:lineRule="auto"/>
      </w:pPr>
      <w:r w:rsidRPr="00F0058F">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Verzamelt en interpreteert stavingsstukken in functie van het opmaken van de EPB-aangifte </w:t>
      </w:r>
      <w:r>
        <w:rPr>
          <w:rFonts w:cstheme="minorHAnsi"/>
        </w:rPr>
        <w:t xml:space="preserve"> </w:t>
      </w:r>
      <w:r w:rsidRPr="00A4228D">
        <w:rPr>
          <w:rFonts w:cstheme="minorHAnsi"/>
        </w:rPr>
        <w:t>(F110101 Id660-c, H120601 Id21444/25908-c)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Woont, indien gevraagd, werfvergaderingen en opleveringen bij</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Past tijdens eventuele werfbezoeken veiligheidsvoorschriften toe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Vraagt en ontvangt de stavingsstukken van de as-built-situatie eventueel via bezoek aan de werf of het gebouw na ingebruikname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visueel materialen en technische installaties op de werf in het kader van zijn energie-expertise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Adviseert in overleg met bouwteam, indien nodig, om metingen en tests te laten uitvoeren zoals bijvoorbeeld een luchtdichtheidstest of ventilatiedebietmetingen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Geeft instructies aan de aangifteplichtige of aan de uitvoerder van de test om de meting of de test correct te laten uitvoeren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Interpreteert meetresultaten van testen vanuit eigen expertise rekening houdend met de specificiteit van het gebouw</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Beoordeelt kritisch voor elk stavingsstuk (offertes, facturen, meetrapporten, technische fiches, eventuele visuele vaststellingen matchen met papieren bewijsstukken...) de geldigheid/juistheid in relatie tot de EPB-regelgeving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Vraagt, indien nodig voor de beoordeling van een stavingsstuk, bijkomende informatie op bij technologie/productleveranciers,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Communiceert zijn vaststellingen met het bouwteam</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Actualiseert de EPB-berekening tijdens het bouwproces </w:t>
      </w:r>
      <w:r>
        <w:rPr>
          <w:rFonts w:cstheme="minorHAnsi"/>
        </w:rPr>
        <w:t xml:space="preserve"> </w:t>
      </w:r>
      <w:r w:rsidRPr="00A4228D">
        <w:rPr>
          <w:rFonts w:cstheme="minorHAnsi"/>
        </w:rPr>
        <w:t>(co 02143)</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Ondersteunt als expert op vlak van energieprestatie tijdens het bouwproces het bouwteam bij praktische problemen om de uitvoering EPB-conform te maken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Overlegt met het bouwteam wanneer de werken de energieprestatie zouden kunnen (negatief of positief) beïnvloeden en geeft hierbij advies vanuit inzicht in de rekenmethodiek en de invloed van de bepaalde bouwaspecten op de energieprestatie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Communiceert zijn vaststellingen met het bouwteam en adviseert eventueel te nemen maatregelen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Actualiseert indien nodig de EPB-berekening op basis van informatie uit verschillende bronnen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Staat, indien gevraagd,  de aangifteplichtige bij de oplevering bij in functie van het behalen van EPB-eisen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Maakt de EPB-aangifte op </w:t>
      </w:r>
      <w:r>
        <w:rPr>
          <w:rFonts w:cstheme="minorHAnsi"/>
        </w:rPr>
        <w:t xml:space="preserve"> </w:t>
      </w:r>
      <w:r w:rsidRPr="00A4228D">
        <w:rPr>
          <w:rFonts w:cstheme="minorHAnsi"/>
        </w:rPr>
        <w:t>(H120601 Id8282-c)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Rapporteert in de EPB-aangifte hoe het bouwproject reëel uitgevoerd is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Past, indien de reële uitvoering niet gekend is, de correcte forfaitaire waardes toe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de voorlopige EPB-aangifte op binnen de wettelijke termijnen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Legt  de voorlopige EPB-aangifte ter goedkeuring voor aan de aangifteplichtige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Vraagt het akkoord van de aangifteplichtige om de EPB-aangifte definitief in te dienen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Dient de definitieve EPB-aangifte in conform de wetgeving in naam van de aangifteplichtige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Ontvangt van de bevoegde dienst van de Vlaamse overheid elektronisch de EPB-aangifte die afgedrukt moet worden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Ondertekent de papieren versie van de EPB-aangifte en legt deze  ter ondertekening voor aan de aangifteplichtige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Informeert de aangifteplichtige over de verplichting de ondertekende versie van de EPB-aangifte gedurende de wettelijke termijn bij te houden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de ondertekende versie van de EPB-aangifte volgens de wettelijke termijn bij en stelt die op verzoek van de bevoegde dienst van de Vlaamse overheid ter beschikking</w:t>
      </w:r>
      <w:r w:rsidRPr="00127D6A">
        <w:rPr>
          <w:rFonts w:cstheme="minorHAnsi"/>
          <w:color w:val="FF0000"/>
        </w:rPr>
        <w:t/>
      </w:r>
    </w:p>
    <w:p w:rsidR="002C5C20" w:rsidRPr="002C5C20" w:rsidRDefault="002C5C20" w:rsidP="002C5C20">
      <w:pPr>
        <w:pStyle w:val="Voetnoot"/>
      </w:pPr>
      <w:r w:rsidRPr="00362EDF">
        <w:t/>
      </w:r>
    </w:p>
    <w:p w:rsidR="002C5C20" w:rsidRPr="00F0058F" w:rsidRDefault="002C5C20" w:rsidP="002C5C20">
      <w:pPr>
        <w:spacing w:after="0" w:line="240" w:lineRule="auto"/>
      </w:pPr>
      <w:r w:rsidRPr="00127D6A">
        <w:rPr>
          <w:color w:val="FF0000"/>
        </w:rPr>
        <w:t/>
      </w:r>
      <w:r>
        <w:rPr>
          <w:color w:val="FF0000"/>
        </w:rPr>
        <w:t/>
      </w:r>
    </w:p>
    <w:p w:rsidR="002C5C20" w:rsidRDefault="002C5C20" w:rsidP="002C5C20">
      <w:pPr>
        <w:spacing w:after="0" w:line="240" w:lineRule="auto"/>
        <w:rPr>
          <w:u w:val="single"/>
        </w:rPr>
      </w:pPr>
      <w:r w:rsidRPr="00CB1037">
        <w:rPr>
          <w:u w:val="single"/>
        </w:rPr>
        <w:t>Controle van de  EPB-aangifte door de bevoegde dienst van de Vlaamse overheid</w:t>
      </w:r>
    </w:p>
    <w:p w:rsidR="002C5C20" w:rsidRPr="00F0058F" w:rsidRDefault="002C5C20" w:rsidP="002C5C20">
      <w:pPr>
        <w:spacing w:after="0" w:line="240" w:lineRule="auto"/>
      </w:pPr>
      <w:r w:rsidRPr="00F0058F">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Oefent, indien gevraagd, bijkomende taken uit indien de aangifteplichtige een schrijven ontvangt van de bevoegde dienst van de Vlaamse overheid </w:t>
      </w:r>
      <w:r>
        <w:rPr>
          <w:rFonts w:cstheme="minorHAnsi"/>
        </w:rPr>
        <w:t xml:space="preserve"> </w:t>
      </w:r>
      <w:r w:rsidRPr="00A4228D">
        <w:rPr>
          <w:rFonts w:cstheme="minorHAnsi"/>
        </w:rPr>
        <w:t>(co 02144)</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Geeft bijstand vanuit gespecialiseerde kennis/expertise aan de aangifteplichtige bij het formuleren van een antwoord aan de bevoegde dienst van de Vlaamse overheid op een  aanmaning voor: het niet tijdig indienen van startverklaring en/of een EPB-aangifte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Geeft bijstand vanuit gespecialiseerde kennis/expertise aan de aangifteplichtige bij het formuleren van een antwoord aan de bevoegde dienst van de Vlaamse overheid op een hoorzitting voor: het niet indienen van een startverklaring en/of een EPB-aangifte en/of het niet voldoen aan de EPB-eisen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Geeft bijstand vanuit gespecialiseerde kennis/expertise aan de aangifteplichtige bij het formuleren van een antwoord aan de bevoegde dienst van de Vlaamse overheid op het opleggen van een boete voor: het niet indienen van een startverklaring en/of een EPB-aangifte en/of het niet voldoen aan de EPB-eisen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Levert op 1ste  verzoek de nodige stavingsstukken en documenten aan die de bevoegde dienst van de Vlaamse overheid opvraagt  en geeft een eerste toelichting </w:t>
      </w:r>
      <w:r>
        <w:rPr>
          <w:rFonts w:cstheme="minorHAnsi"/>
        </w:rPr>
        <w:t xml:space="preserve"> </w:t>
      </w:r>
      <w:r w:rsidRPr="00A4228D">
        <w:rPr>
          <w:rFonts w:cstheme="minorHAnsi"/>
        </w:rPr>
        <w:t>(co 02145)</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Verzamelt uit het dossier de door de bevoegde dienst van de Vlaamse overheid gevraagde stukken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de stukken over aan de bevoegde dienst van de Vlaamse overheid binnen de gestelde termijn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Geeft, indien gevraagd door de bevoegde dienst van de Vlaamse overheid, schriftelijke en/of mondelinge verantwoording over de rapportering in de EPB-aangifte</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Reageert, indien gewenst, op de controlevaststellingen van de bevoegde dienst van de Vlaamse overheid </w:t>
      </w:r>
      <w:r>
        <w:rPr>
          <w:rFonts w:cstheme="minorHAnsi"/>
        </w:rPr>
        <w:t xml:space="preserve"> </w:t>
      </w:r>
      <w:r w:rsidRPr="00A4228D">
        <w:rPr>
          <w:rFonts w:cstheme="minorHAnsi"/>
        </w:rPr>
        <w:t>(co 02146)</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Bekijkt en evalueert de door de bevoegde dienst van de Vlaamse overheid geformuleerde controlevaststellingen aan de hand van het dossier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Beslist of er tegenargument(en) kunnen geformuleerd worden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Contacteert, indien nodig, de bevoegde dienst van de Vlaamse overheid voor bijkomende informatie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Formuleert, indien gewenst, de tegenargumenten onderbouwd met stavingstukken en/of een motivatie van bepaalde keuzes (indeling gebouw, ventilatie,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Start eventueel beroepsprocedure op tegen de door de bevoegde dienst van de Vlaamse overheid opgelegde boete</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Dient, indien nodig, een hernieuwingsaangifte in binnen de gestelde termijn </w:t>
      </w:r>
      <w:r>
        <w:rPr>
          <w:rFonts w:cstheme="minorHAnsi"/>
        </w:rPr>
        <w:t xml:space="preserve"> </w:t>
      </w:r>
      <w:r w:rsidRPr="00A4228D">
        <w:rPr>
          <w:rFonts w:cstheme="minorHAnsi"/>
        </w:rPr>
        <w:t>(co 02147)</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de hernieuwingsaangifte op overeenkomstig de vaststellingen van de bevoegde dienst van de Vlaamse overheid</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de hernieuwingsaangifte conform de wetgeving op (indienen, ondertekenen, archiveren)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Informeert de aangifteplichtige over de verplichting de ondertekende versie van de hernieuwingsaangifte gedurende de wettelijke termijn bij te houden</w:t>
      </w:r>
      <w:r w:rsidRPr="00127D6A">
        <w:rPr>
          <w:rFonts w:cstheme="minorHAnsi"/>
          <w:color w:val="FF0000"/>
        </w:rPr>
        <w:t/>
      </w:r>
    </w:p>
    <w:p w:rsidR="002C5C20" w:rsidRPr="002C5C20" w:rsidRDefault="002C5C20" w:rsidP="002C5C20">
      <w:pPr>
        <w:pStyle w:val="Voetnoot"/>
      </w:pPr>
      <w:r w:rsidRPr="00362EDF">
        <w:t/>
      </w:r>
      <w:r w:rsidRPr="006D6AE0">
        <w:br/>
        <w:t>Hernieuwingsaangifte: een nieuwe EPB-aangifte in, die in overeenstemming is met de controlevaststellingen </w:t>
      </w:r>
      <w:r w:rsidRPr="006D6AE0">
        <w:br/>
      </w:r>
      <w:r w:rsidRPr="00362EDF">
        <w:t/>
      </w:r>
    </w:p>
    <w:p w:rsidR="002C5C20" w:rsidRPr="00F0058F" w:rsidRDefault="002C5C20" w:rsidP="002C5C20">
      <w:pPr>
        <w:spacing w:after="0" w:line="240" w:lineRule="auto"/>
      </w:pPr>
      <w:r w:rsidRPr="00127D6A">
        <w:rPr>
          <w:color w:val="FF0000"/>
        </w:rPr>
        <w:t/>
      </w:r>
      <w:r>
        <w:rPr>
          <w:color w:val="FF0000"/>
        </w:rPr>
        <w:t/>
      </w:r>
    </w:p>
    <w:p w:rsidR="002C5C20" w:rsidRDefault="002C5C20" w:rsidP="002C5C20">
      <w:pPr>
        <w:spacing w:after="0" w:line="240" w:lineRule="auto"/>
        <w:rPr>
          <w:u w:val="single"/>
        </w:rPr>
      </w:pPr>
      <w:r w:rsidRPr="00CB1037">
        <w:rPr>
          <w:u w:val="single"/>
        </w:rPr>
        <w:t>Aanvullende taken (indien gevraagd)</w:t>
      </w:r>
    </w:p>
    <w:p w:rsidR="002C5C20" w:rsidRPr="00F0058F" w:rsidRDefault="002C5C20" w:rsidP="002C5C20">
      <w:pPr>
        <w:spacing w:after="0" w:line="240" w:lineRule="auto"/>
      </w:pPr>
      <w:r w:rsidRPr="00F0058F">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Doet aanbevelingen voor alternatieven op de maatregelen die in de ontwerpfase waren voorzien  </w:t>
      </w:r>
      <w:r>
        <w:rPr>
          <w:rFonts w:cstheme="minorHAnsi"/>
        </w:rPr>
        <w:t xml:space="preserve"> </w:t>
      </w:r>
      <w:r w:rsidRPr="00A4228D">
        <w:rPr>
          <w:rFonts w:cstheme="minorHAnsi"/>
        </w:rPr>
        <w:t>(M140201 Id16669-c/25444-c)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Communiceert met de aangifteplichtige over eventuele bijkomende mogelijke adviesopdracht en neemt deze, indien gewenst, op in de overeenkomst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Geeft een duidelijke omschrijving van wat deze adviesrol juist kan inhouden (extra EPB-simulaties + advies, werfbezoeken + advies, advies rond bouwknopen, advies rond alternatieve technieken,…)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Berekent, adviseert en bespreekt, mondeling en/of schriftelijk, de toepassing en gevolgen van alternatieve en aanvullende oplossingen indien gevraagd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Adviseert, indien gevraagd, de aangifteplichtige tijdens het bouwproces in functie van het behalen van de gewenste eisen (uitvoeringswijze, keuze en gebruik van materialen,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Vervult deze adviserende rol als volwaardig lid van het bouwteam als energie-expert</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Maakt, indien van toepassing, een tussentijds verslag op voor de overdracht van de aangifteplicht </w:t>
      </w:r>
      <w:r>
        <w:rPr>
          <w:rFonts w:cstheme="minorHAnsi"/>
        </w:rPr>
        <w:t xml:space="preserve"> </w:t>
      </w:r>
      <w:r w:rsidRPr="00A4228D">
        <w:rPr>
          <w:rFonts w:cstheme="minorHAnsi"/>
        </w:rPr>
        <w:t>(co 02148)</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Beschrijft conform de wetgeving, bij overdracht van de aangifteplicht (bij casco-verkoop, echtscheiding, overlijden, …)  in een tussentijds verslag de uitgevoerde en nog uit te voeren maatregelen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Vermeldt wie met de uitvoering van de verschillende maatregelen  belast is</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Meldt een overname van een lopend EPB-dossier van een andere verslaggever aan de bevoegde dienst van de Vlaamse overheid </w:t>
      </w:r>
      <w:r>
        <w:rPr>
          <w:rFonts w:cstheme="minorHAnsi"/>
        </w:rPr>
        <w:t xml:space="preserve"> </w:t>
      </w:r>
      <w:r w:rsidRPr="00A4228D">
        <w:rPr>
          <w:rFonts w:cstheme="minorHAnsi"/>
        </w:rPr>
        <w:t>(co 02149)</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Meldt, bij verandering van de EPB-verslagever, van welke verslaggever en voor welk dossier de taak van verslaggever wordt overgenomen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Maakt een dossier voor afwijking op de EPB-eisen op wegens het  functioneel, technisch of economisch niet haalbaar zijn </w:t>
      </w:r>
      <w:r>
        <w:rPr>
          <w:rFonts w:cstheme="minorHAnsi"/>
        </w:rPr>
        <w:t xml:space="preserve"> </w:t>
      </w:r>
      <w:r w:rsidRPr="00A4228D">
        <w:rPr>
          <w:rFonts w:cstheme="minorHAnsi"/>
        </w:rPr>
        <w:t>(co 02150)</w:t>
      </w:r>
    </w:p>
    <w:p w:rsidR="002C5C20" w:rsidRPr="002C5C20" w:rsidRDefault="002C5C20" w:rsidP="002C5C20">
      <w:pPr>
        <w:pStyle w:val="Voetnoot"/>
      </w:pPr>
      <w:r w:rsidRPr="00362EDF">
        <w:t/>
      </w:r>
    </w:p>
    <w:p w:rsidR="00A15DC3" w:rsidRPr="00080BFA" w:rsidRDefault="000C04C6" w:rsidP="00A15DC3">
      <w:pPr>
        <w:spacing w:after="0" w:line="240" w:lineRule="auto"/>
        <w:rPr>
          <w:lang w:val="en-US"/>
        </w:rPr>
      </w:pPr>
      <w:r w:rsidRPr="00A15DC3">
        <w:rPr>
          <w:color w:val="FF0000"/>
          <w:lang w:val="en-US" w:eastAsia="nl-BE"/>
        </w:rPr>
        <w:t/>
      </w:r>
      <w:r w:rsidR="00A15DC3" w:rsidRPr="00A15DC3">
        <w:rPr>
          <w:color w:val="FF0000"/>
          <w:lang w:val="en-US"/>
        </w:rPr>
        <w:t xml:space="preserve"> </w:t>
      </w:r>
      <w:r w:rsidR="00A15DC3" w:rsidRPr="00080BFA">
        <w:rPr>
          <w:color w:val="FF0000"/>
          <w:lang w:val="en-US"/>
        </w:rPr>
        <w:t/>
      </w: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achtergrond van regelgevend kader in het kader van energieprestatieregelgeving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wetgeving ruimtelijke ordening en onroerend erfgoed</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wetgeving over overheidsopdrachten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EPC bestaande gebouwen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werking van technische installaties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financiële ondersteuningsmechanismen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bouwfysica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thermodynamica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elektriciteit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elektromechanica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verzekering beroepsaansprakelijkheid</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rechtsvormen van ondernemingen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brandnormen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communicatievaardigheden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administratief beheer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veiligheid van de werf</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EPB-gerelateerde normen, reglementen, certificaten en technische voorlichting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gelijkwaardigheidsprincipes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gerelateerde berekeningen zoals warmteverliesberekening en dimensionering van technische installaties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bouwfysica in functie van de vaststellingen rond energieprestatie en binnenklimaat van een gebouw</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thermodynamica in functie van de vaststellingen rond energieprestatie en binnenklimaat van een gebouw</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elektriciteit in functie van de vaststellingen rond energieprestatie en binnenklimaat van een gebouw</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elektromechanica in functie van de vaststellingen rond energieprestatie en binnenklimaat van een gebouw</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kwaliteitskaders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aansprakelijkheid van verschillende partijen in de bouw</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meettechnieken (volumes en oppervlakten)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fasering bouwproces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kostprijs bouwtechnieken, materialen en technische installaties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berekening van de netto-energiebehoefte van een gebouw voor koeling en verwarming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bouwtechnieken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procedure van een uitzonderingsaanvraag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BEN -beleid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methodes voor probleemoplossing in het kader van de EPB-regelgeving</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communicatie technieken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werkplanningstechnieken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technieken voor het coachen van een team</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bouwmaterialen in relatie tot EPB</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werking van de verschillende installaties (verwarming, ventilatie, herbruikbare energie, sanitaire warmwater, thermische en fotovoltaïsche zonne-energie, koeling, bevochtiging, verlichting, gedeelde systemen,…) in relatie tot EPB</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EPB-regelgeving (energiedecreet, energiebesluiten en ministeriele besluiten)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indeling van het gebouw in kader van de bestemming en de bepaling van het EPB-eisenpakket</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grootteorde van de impact van gebouwparameters en energiebesparende maatregelen op de energieprestaties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planlezen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berekenen van oppervlakten en volumes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invloed van bouwknopen op EPB</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definitie van BEN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basisventilatie</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EPB-meetcodes (volume/verliesoppervlakten/bruto-vloeropp., …)</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opbouw van de EPB-berekeningsmethode</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gebruik van specifieke EPB-rekenbladen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gebruik van de EPB-software</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gebruik van de Energieprestatiedatabank</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gebruik van de EPBD-databank</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Het gelijkwaardigheidsprincipe biedt de aanvrager de mogelijkheid om een afwijking aan te vragen op de voorschriften. Deze vraag wordt gericht aan de vergunningverlenende overheid. De aanvrager die een beroep op dit gelijkwaardigheidsprincipe doet moet aan de vergunningverlenende overheid aantonen dat de voorgestelde werken dezelfde kwaliteiten met betrekking tot veiligheid, leefbaarheid, beeldkwaliteit en duurzaamheid realiseren als het betrokken voorschrift waarvan afgeweken wordt</w:t>
      </w:r>
      <w:r>
        <w:br/>
      </w:r>
      <w:r>
        <w:t/>
      </w:r>
      <w:r>
        <w:br/>
      </w:r>
      <w:r>
        <w:t>BEN: bijna-energieneutraal: BEN-woningen verbruiken weinig energie voor verwarming, ventilatie, koeling en warm water. De energie die nog nodig is, wordt uit groene energiebronnen gehaald.</w:t>
      </w:r>
      <w:r>
        <w:br/>
      </w:r>
      <w:r>
        <w:t/>
      </w:r>
      <w:r>
        <w:br/>
      </w:r>
      <w:r>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br/>
      </w:r>
      <w:r>
        <w:t>Administratieve vaardigheden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kantoorsoftware (tekstverwerking, rekenblad, documentbeheer,...)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documenten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verzamelen, registreren, klasseren en beheren van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raadplegen van informatiebronnen (handleidingen, literatuur, databanken, internetsites,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gelijktijdig beheren en opvolgen van alle lopende dossiers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het dossier en de bijhorende wettelijke termijnen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houden van het overzicht en beheren van de gepresteerde uren in functie van de opdracht en facturatie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proactief verbreden en verbeteren van kennis en competenties (bijscholing,…)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zorgen voor een duidelijke organisatiestructuur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afstemmen op elkaar van de activiteiten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zorgen voor een efficiënte samenwerking binnen het team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inschatten of informatie al dan niet verder kan of mag verspreid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te woord staan van de potentiële en bestaande klanten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verzamelen van informatie om te komen tot een volledige offerte en contract tussen aangifteplichtige en verslaggever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opvragen van alle nodige informatie (administratieve gegevens, plannen, aard van het werk en bestemming van het gebouw en de voorziene maatregelen, materialen en technieken,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samenstellen van een projectdossier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opvragen van de gegevens voor de opmaak van de startverklaring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indienen, in naam van de aangifteplichtige, van de definitieve startverklaring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elektronisch ontvangen van de bevoegde dienst van de Vlaamse overheid van de startverklaring die afgedrukt moet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ondertekenen van de papieren versie van de startverklaring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voorleggen ter ondertekening van de papieren versie van de startverklaring aan de aangifteplichtige en aan de architect die belast is met de controle van de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bijhouden van de ondertekende versie van de startverklaring volgens de wettelijke termijn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ter beschikking stellen van de ondertekende versie van de startverklaring op verzoek van de bevoegde dienst van de Vlaamse overheid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voorleggen van de voorlopige EPB-aangifte ter goedkeuring aan de aangifteplichtige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vragen van het akkoord van de aangifteplichtige om de EPB-aangifte definitief in te dienen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indienen van de definitieve EPB-aangifte in conform de wetgeving naam van de aangifteplichtige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elektronisch ontvangen van de bevoegde dienst van de Vlaamse overheid de EPB-aangifte die afgedrukt moet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ondertekenen van de papieren versie van de EPB-aangifte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ter ondertekening voorleggen van de papieren versie van de EPB-aangifte aan de aangifteplichtige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informeren van de aangifteplichtige over de verplichting de ondertekende versie van de EPB-aangifte gedurende de wettelijke termijn bij te houden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bijhouden van de ondertekende versie van de EPB-aangifte volgens de wettelijke termijn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ter beschikking stellen van de ondertekende versie van de EPB-aangifte  op verzoek van de bevoegde dienst van de Vlaamse overheid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verzamelen uit het dossier van  de door de bevoegde dienst van de Vlaamse overheid gevraagde stukken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overmaken van de stukken aan de bevoegde dienst van de Vlaamse overheid binnen de gestelde termijn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opmaken van de hernieuwingsaangifte conform de wetgeving (indienen, ondertekenen, archiveren)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informeren van de aangifteplichtige over de verplichting de ondertekende versie van de hernieuwingsaangifte gedurende de wettelijke termijn bij te houden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melden, bij verandering van de EPB-verslagever, van welke verslaggever en voor welk dossier de taak van verslaggever wordt overgenomen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opmaken van een dossier voor afwijking op de EPB-eisen op wegens het  functioneel, technisch of economisch niet haalbaar zijn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350A3E" w:rsidRDefault="00350A3E" w:rsidP="00350A3E">
      <w:pPr>
        <w:pStyle w:val="DescriptorTitel"/>
        <w:ind w:left="284"/>
      </w:pPr>
      <w:r w:rsidRPr="00FC158B">
        <w:rPr>
          <w:color w:val="FF0000"/>
        </w:rPr>
        <w:t/>
      </w:r>
      <w:r w:rsidRPr="008E6A29">
        <w:t>Energie-technische vaardigheden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EPB-software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lezen, begrijpen en interpreteren van plannen (ruimtelijk inzicht)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lezen, begrijpen en interpreteren van stavingsstukken (technische fiches, berekeningsnota’s van installaties, gebruikte materialen,…)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berekenen/bepalen van volumes en oppervlakten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richtlijnen en reglementering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de architect en de aangifteplichtige bijstaan als expert op vlak van energieprestatie met zijn/haar advies gedurende het bouwproject (van concept tot oplevering)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uitwisselen van informatie met interne (collega’s,…) en externe partijen (aangifteplichtige, bouwteam, overheid,…)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overbrengen van informatie op een heldere en correcte manier naar interne (collega’s, …) en externe partijen (aangifteplichtige, bouwteam overheid,…)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bijdragen tot het goed functioneren van het bouwteam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opmaken van de planning van de lopende dossiers rekening houdend met de planning van de bouw</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bewaken  en constant bijsturen van de planning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opmaken van de projectplanning (berekeningen, werfbezoeken,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 niveau houden van de kennis door (recente) energietechnieken, producten en materialen op te volgen in relatie tot EPB (bouwknopen in constructies, hernieuwbare energie, isolatiematerialen, ...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integreren van nieuwe ervaringen in de dagdagelijkse werksituatie en het combineren van inzichten uit verschillende kennisdomeinen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volgen van wettelijk verplichte permanente vorming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de actuele EPB-regelgeving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verzamelen van basisgegevens, verwachtingen over het ambitieniveau van het project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samenbrengen van de noden van het individuele project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vertalen van de noden van het individuele project naar de specifieke situatie van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combineren en synthetiseren van informatie van verschillende kennisdomeinen (wettelijke bepalingen, bouwfysische aspecten, technieken, ruimtelijke ordening, stabiliteit, brandveiligheid,…)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bijstaan van de architect en de aangifteplichtige als expert op vlak van energieprestatie van het gebouw gedurende het concept van het bouwproject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aftoetsen met het bouwteam of een advies compatibel is met de randvoorwaarden van het project (ruimtelijke ordening en stabiliteit, technieken…)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bestuderen in de conceptfase van de haalbaarheid van verschillende energetische niveaus in wisselwerking met het bouwteam en synthetiseren vanuit zijn energie-expertise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beheersen van de rekenmethodiek en het kunnen inschatten welke impact de wijzigende parameters zullen hebben het concept van het bouwproject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maken van een ventilatie-voorontwerp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adviseren van één of meerdere in de praktijk uitvoerbare voorstellen op maat van de unieke praktijksituatie in overleg met het bouwteam tijdens de conceptfase en het kunnen terugkoppelen naar de klant/het bouwteam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motiveren van zijn bepaalde keuzes/afwegingen, het geven van bijstand bij het maken van de definitieve keuzes in de conceptfase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inschatten van de omvang en complexiteit van opdracht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opmaken van een werkinschatting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vaststellen van de nood aan bijkomende expertise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geven van bijkomende toelichting bij de offerte en/of contract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inschatten van de omvang en complexiteit voor het bijkomend advies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opmaken van een werkinschatting voor het bijkomend advies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vaststellen van de nood aan bijkomende expertise vast en zo nodig kunnen doorverwijzen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geven van bijkomende toelichting bij de offerte en/of contract voor bijkomend advies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inschatten van de impact van het bijkomend advies in verschillende aspecten van het bouwproject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ervoor zorgen dat de voorstellen in het bijkomend advies uitvoerbaar en consequent zijn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uitwerken van een bijkomend advies en/of rapport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inschatten van de consequenties op energetisch gebied van het bijkomend advies op het bouwproject en de eigen verantwoordelijkheid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handelen vanuit eigen expertise en gezond verstand in situaties die niet voorzien (bv inbraakrisico ) zijn in de wetgeving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bespreken met de aangifteplichtige en/of architect van het project en de projecteisen, waaronder de wettelijke EPB-eisen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verwachtingen/te behalen resultaten, het ambitieniveau en voorwaarden met de aangifteplichtige in samenspraak met de architect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beoordelen van de informatie en de situatie in functie van de beoogde doelstelling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advies geven in overleg met het bouwteam over te maken keuzes i.v.m. energieprestatie en binnenklimaat van het gebouw</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advies geven in overleg met het bouwteam over te maken keuzes i.v.m. ventilatie van het gebouw</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toelichten van de uitzonderingsprocedure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formuleren van een visie over de haalbaarheid van een uitzonderingsaanvraag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overleggen over mogelijke uitzonderingen met de aangifteplichtige en het bouwteam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onderbouwen van de technische, functionele of economische onhaalbaarheid van één of meerdere van de EPB-eisen in samenwerking met het bouwteam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opmaken van de uitzonderingsaanvraag op vraag van de aangifteplichtige zodat het binnen de wettelijke termijn verstuurd kan worden naar de bevoegde dienst van de Vlaamse overheid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maken van de EPB-berekeningen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aftoetsen van het project aan de EPB-eisen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integreren van adviezen en berekeningen vanuit diverse invalshoeken (bouwknopen, technieken,…)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bestuderen van de haalbaarheid van verschillende energetische niveaus, kunnen synthetiseren en het kunnen adviseren van één of meerdere voorstellen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bespreken van de resultaten van de voorafberekening met de aangifteplichtige en de architect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opvragen van de gegevens voor de opmaak van de startverklaring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opmaken van de voorlopige startverklaring conform de wetgeving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bijwonen van de werfvergaderingen en opleveringen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veiligheidsvoorschriften tijdens eventuele werfbezoeken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vragen en in ontvangst nemen van de stavingsstukken van de as-built-situatie eventueel via bezoek aan de werf of het gebouw na ingebruikname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het op de werf visueel kunnen controleren van materialen en technische installaties in het kader van zijn energie-expertise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adviseren in overleg met bouwteam, indien nodig, om metingen en tests te laten uitvoeren zoals bijvoorbeeld een luchtdichtheidstest of ventilatiedebietmetingen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geven van instructies aan de aangifteplichtige of aan de uitvoerder van de test om de meting of de test correct te laten uitvoeren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interpreteren van de meetresultaten van testen vanuit eigen expertise rekening houdend met de specificiteit van het gebouw</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kritisch de geldigheid/juistheid in relatie tot de EPB-regelgeving beoordelen voor elk stavingsstuk (offertes, facturen, meetrapporten, technische fiches, eventuele visuele vaststellingen matchen met papieren bewijsstukken...)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opvragen van bijkomende informatie op bij technologie/productleveranciers, ... indien nodig voor de beoordeling van een stavingsstuk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communiceren van zijn vaststellingen met het bouwteam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ondersteunen van het bouwteam als expert op vlak van energieprestatie tijdens het bouwproces bij praktische problemen om de uitvoering EPB-conform te maken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overleggen met het bouwteam wanneer de werken de energieprestatie zouden kunnen (negatief of positief) beïnvloeden en hierbij advies kunnen geven vanuit inzicht in de rekenmethodiek en de invloed van de bepaalde bouwaspecten op de energieprestatie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communiceren van zijn vaststellingen met het bouwteam en het kunnen eventueel te nemen maatregelen adviseren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actualiseren van de EPB-berekening op basis van informatie uit verschillende bronnen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bijstaan, indien gevraagd, van de aangifteplichtige bij de oplevering bij in functie van het behalen van EPB-eisen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correct rapporteren in de EPB-aangifte hoe het bouwproject reëel uitgevoerd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de correcte forfaitaire waardes indien de reële uitvoering niet gekend 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de voorlopige EPB-aangifte binnen de wettelijke termijnen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geven van schriftelijke en/of mondelinge verantwoording over de rapportering in de EPB-aangifte indien gevraagd door de bevoegde dienst van de Vlaamse overheid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opmaken van de uitzonderingsaanvraag op vraag van de aangifteplichtige zodat het binnen de wettelijke termijn verstuurd kan worden naar de bevoegde dienst van de Vlaamse overheid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bekijken en evalueren van de door de bevoegde dienst van de Vlaamse overheid geformuleerde controlevaststellingen aan de hand van het dossier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beslissen of er tegenargument(en) kunnen geformuleerd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contacteren van de bevoegde dienst van de Vlaamse overheid voor bijkomende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formuleren van de tegenargumenten onderbouwd met stavingstukken en/of een motivatie van bepaalde keuzes (indeling gebouw, ventilatie,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opstarten van een eventuele beroepsprocedure tegen de door de bevoegde dienst van de Vlaamse overheid opgelegde boete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de hernieuwingsaangifte overeenkomstig de vaststellingen van de bevoegde dienst van de Vlaamse overheid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communiceren met de aangifteplichtige over eventuele bijkomende mogelijke adviesopdracht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opnemen van een eventuele bijkomende mogelijke adviesopdracht in de overeenkomst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geven van een duidelijke omschrijving van wat deze bijkomende adviesrol juist kan inhouden (extra EPB-simulaties + advies, werfbezoeken + advies, advies rond bouwknopen, advies rond alternatieve technieken,…)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adviseren, indien gevraagd, van de aangifteplichtige tijdens het bouwproces in functie van het behalen van de gewenste eisen (uitvoeringswijze, keuze en gebruik van materialen,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vervullen van deze adviserende rol als volwaardig lid van het bouwteam als energie-expert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beschrijven conform de wetgeving, bij overdracht van de aangifteplicht (bij casco-verkoop, echtscheiding, overlijden, …),  in een tussentijds verslag van de uitgevoerde en nog uit te voeren maatregelen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vermelden wie met de uitvoering van de verschillende maatregelen  belast is</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identificeren van het probleem/de vraag voor bijkomend advies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analyseren van het probleem/de vraag voor bijkomend advies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berekenen, adviseren, bespreken, mondeling en/of schriftelijk, van de toepassing en gevolgen van  alternatieve en aanvullende oplossingen indien gevraagd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signaleren aan de aangifteplichtige en aan de architect dat de berekening aantoont dat het ontwerp niet zal voldoen aan de EPB-eisen of het gewenste ambitieniveau</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geven, indien gevraagd, van bijkomend advies in overleg met bouwteam vanuit zijn externe energie-expertise over bijsturing van het ontwerp binnen de mogelijkheden, beperkingen en de belangen van de aangifteplichtige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opvragen van de gegevens voor de opmaak van de startverklaring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controleren van de correctheid en volledigheid van de opgevraagde gegevens voor de opmaak van de startverklaring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geven aan de aangifteplichtige en aan de architect van minstens één schriftelijk, niet-bindend advies over hoe ze kunnen voldoen aan de EPB-eisen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geven van bijstand vanuit gespecialiseerde kennis/expertise aan de aangifteplichtige bij het formuleren van een antwoord aan de bevoegde dienst van de Vlaamse overheid op een  aanmaning voor: het niet tijdig indienen van startverklaring en/of een EPB-aangifte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geven van bijstand vanuit gespecialiseerde kennis/expertise aan de aangifteplichtige bij het formuleren van een antwoord aan de bevoegde dienst van de Vlaamse overheid op een hoorzitting voor: het niet indienen van een startverklaring en/of een EPB-aangifte en/of het niet voldoen aan de EPB-eisen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geven van bijstand vanuit gespecialiseerde kennis/expertise aan de aangifteplichtige bij het formuleren van een antwoord aan de bevoegde dienst van de Vlaamse overheid op het opleggen van een boete voor: het niet indienen van een startverklaring en/of een EPB-aangifte en/of het niet voldoen aan de EPB-eisen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opmeten van het gebouw (vensters, …) en ruimten</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van EPB-verslaggever wordt zelfstandig of in dienstverband uitgeoefend, binnen architectenbureaus, studiebureaus, dienstverlenende bedrijven, advies- en ingenieursbureaus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samenwerking met verschillende betrokkenen (bouwteam, aangifteplichtige, fabrikanten,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van EPB-verslaggever kan verplaatsingen inhouden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benodigde expertise van de EPB-verslaggever  varieert naargelang het type gebouw, aard van de werken en de gebruikte materialen en technieken. De gebruikte technieken en materialen zijn in geen enkel gebouw identiek.</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EPB-verslaggever behandelt meerdere opdrachten in parallel en houdt bij elk gebouw rekening met andere elementen.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dienstverlening gebeurt op een onafhankelijke wijze : de beoefenaar handelt daarbij zowel in het belang van zijn/haar opdrachtgever, de aangifteplichtige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EPB-verslaggever moet openstaan voor constructief overleg met meerdere en steeds wisselende partners. Hij moet flexibel omgaan met wisselende contexten, eisen, omstandigheden, vereisten, gebeurtenissen,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Als lid van het bouwteam levert de EPB-verslaggever gespecialiseerde input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EPB-verslaggever moet stressbestendig zijn en kwaliteitsvolle diensten produceren binnen een bepaald budget, tijdskader (strikte deadlines, sterk fluctuerende werkdruk …)  en regelgeving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persoonlijke beschermingsmiddelen (veiligheidshelm, veiligheidsschoenen, ...) is vereist bij bezoeken aan de werf</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EPB-verslaggever moet over degelijke management skills beschikken om zelfstandig te werken en alle lopende dossiers in elke fase goed te opvolgen en autonoom beslissingen  (nood aan overleg met bouwteam, onderzoek naar bijkomende maatregelen, beroep doen externe op deskundigen, …) nemen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EPB-verslaggever werkt onafhankelijk en streeft steeds naar een correcte aangifte conform de as-built situatie en de wetgeving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EPB-verslaggever kan persoonlijk aansprakelijk gesteld worden als hij het beroep uitoefent als een natuurlijk persoon bij beroepsfout of bij het niet correct rapporteren in de EPB-aangifte. De aansprakelijkheid kan overgedragen worden aan een rechtspersoon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EPB-verslaggever zal bij de uitoefening van zijn taak oog hebben voor alle relevante gebouw gerelateerde aspecten van energie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EPB-verslaggever informeert zijn klanten correct met betrekking tot het behalen van de EPB-eisen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EPB-verslaggever levert een advies aan de aangifteplichtige en doet een beroep expertise van de interne en externe deskundigen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EPB-verslaggever moet open staan voor het constructief samenwerken en flexibel omgaan met vragen van (potentiële) klanten, bouwteam,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Samenwerking is een belangrijk gegeven voor de EPB-verslaggever. De EPB-verslaggever werkt in hoge mate samen met anderen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EPB-verslaggever moet bij het plannen en uitvoeren van de werfbezoeken om  de  stavingsstukken en informatie over de as-built situatie efficiënt te verzamelen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van EPB-verslaggever vergt een permanente vorming</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lastRenderedPageBreak/>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opvolgen van alle lopende dossiers en het beheer van de 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verzamelen van informatie  over het project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maken van een werkinschatting voor de offerte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opmaken van een voorafberekening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opmaken en indienen van een startverklaring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opstellen van een uitzonderingsaanvraag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opstellen van een tussentijds verslag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indienen van voorlopige EPB-aangifte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opmaken en indienen van de EPB-aangifte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opmaken en indienen van een hernieuwingsaangifte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onafhankelijk formuleren van adviezen keuzes i.v.m. energieprestatie en binnenklimaat van het gebouw</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archiveren van documenten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starten van een beroepsprocedure</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Vlaams regelgevend kader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gebruik van de EPB-berekeningsmethode en specifieke EPB-rekenbladen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EPB-eisen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EPB-gerelateerde normen, reglementen en certificaten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verwachtingen en de eisen van de klant/aangifteplichtige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wetgeving ruimtelijke ordening en onroerend erfgoed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wetgeving over overheidsopdrachten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veiligheidsvoorschriften op de werf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verklaring op eer</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aangifteplichtige, het bouwteam en fabrikanten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bevoegde dienst van de Vlaamse overheid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erkende en/of interne en externe experten voor metingen</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administratieve taken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administratief en technisch opmaken van de EPB-dossiers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intern en extern communiceren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technisch en administratief beheren van de projecten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ontwikkelen van eigen deskundigheid en dat van het team</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indien van toepassing, aansturen van een intern team en het stimuleren van teamwerking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verzamelen van informatie over het project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maken van een werkinschatting voor de offerte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gepast reageren op mogelijke vragen voor bijkomend advies bovenop de  wettelijke taken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evalueren van de behoeften van de aangifteplichtige en de doelstellingen en het bepalen van het kader van de interventie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opmaken van een dossier voor uitzonderingsaanvraag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opmaken van de voorafberekening ter voorbereiding van de startverklaring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indienen van de startverklaring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verzamelen en interpreteren van stavingsstukken in functie van het opmaken van de EPB-aangifte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actualiseren van de EPB-berekening tijdens het bouwproces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opmaken van de EPB-aangifte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uitoefenen van bijkomende taken indien de aangifteplichtige een schrijven ontvangt van de bevoegde dienst van de Vlaamse overheid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aanleveren op 1ste verzoek van de nodige stavingsstukken en documenten aan die de bevoegde dienst van de Vlaamse overheid opvraagt  en het geven van een eerste toelichting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reageren op betreffende de controlevaststellingen van de bevoegde dienst van de Vlaamse overheid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indienen, indien nodig, van een hernieuwingsaangifte binnen de gestelde termijn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doen van aanbevelingen voor alternatieven op de maatregelen die in de ontwerpfase waren voorzien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opmaken van een tussentijds verslag voor de overdracht van de aangifteplicht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melden van een overname van een lopend EPB-dossier van een andere verslaggever aan de bevoegde dienst van de Vlaamse overheid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opmaken van een dossier voor afwijking op de EPB-eisen op wegens het  functioneel, technisch of economisch niet haalbaar</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8539AC" w:rsidRPr="00032DDA">
        <w:rPr>
          <w:color w:val="000000" w:themeColor="text1"/>
        </w:rPr>
        <w:t/>
      </w:r>
    </w:p>
    <w:p w:rsidR="008539AC" w:rsidRPr="006910EC" w:rsidRDefault="008539AC" w:rsidP="008539AC">
      <w:pPr>
        <w:pStyle w:val="Titel3"/>
        <w:rPr>
          <w:b w:val="0"/>
          <w:sz w:val="22"/>
        </w:rPr>
      </w:pPr>
      <w:r>
        <w:t>Wettelijke attesten</w:t>
      </w:r>
    </w:p>
    <w:p w:rsidR="008539AC" w:rsidRDefault="008539AC" w:rsidP="008539AC">
      <w:pPr>
        <w:spacing w:after="0" w:line="240" w:lineRule="auto"/>
      </w:pPr>
      <w:r>
        <w:t>Geen vereisten.</w:t>
      </w:r>
    </w:p>
    <w:p w:rsidR="008539AC" w:rsidRDefault="008539AC" w:rsidP="008539AC">
      <w:pPr>
        <w:spacing w:after="0" w:line="240" w:lineRule="auto"/>
      </w:pPr>
    </w:p>
    <w:p w:rsidR="008539AC" w:rsidRDefault="008539AC" w:rsidP="008539AC">
      <w:pPr>
        <w:pStyle w:val="Titel3"/>
      </w:pPr>
      <w:r>
        <w:t>Vereiste attesten</w:t>
      </w:r>
    </w:p>
    <w:p w:rsidR="008539AC" w:rsidRDefault="008539AC" w:rsidP="008539AC">
      <w:pPr>
        <w:spacing w:after="0" w:line="240" w:lineRule="auto"/>
      </w:pPr>
      <w:r>
        <w:t>Geen vereisten.</w:t>
      </w:r>
    </w:p>
    <w:p w:rsidR="008539AC" w:rsidRDefault="008539AC" w:rsidP="008539AC">
      <w:pPr>
        <w:spacing w:after="0" w:line="240" w:lineRule="auto"/>
      </w:pPr>
    </w:p>
    <w:p w:rsidR="008539AC" w:rsidRDefault="008539AC" w:rsidP="008539AC">
      <w:pPr>
        <w:pStyle w:val="Titel3"/>
      </w:pPr>
      <w:r>
        <w:t>Instapvoorwaarden</w:t>
      </w:r>
    </w:p>
    <w:p w:rsidR="008539AC" w:rsidRDefault="008539AC" w:rsidP="008539AC">
      <w:pPr>
        <w:spacing w:after="0" w:line="240" w:lineRule="auto"/>
      </w:pPr>
      <w:r>
        <w:lastRenderedPageBreak/>
        <w:t>Het uitoefenen van het beroep EPB-verslaggever is pas mogelijk na het succesvol doorlopen van onderstaand proces bij een erkenningsinstantie. </w:t>
      </w:r>
      <w:r>
        <w:br/>
      </w:r>
      <w:r>
        <w:t>-      Verklaring op eer ondertekenen op energieprestatiedatabank;</w:t>
      </w:r>
      <w:r>
        <w:br/>
      </w:r>
      <w:r>
        <w:t>-	Bijkomende specifieke opleiding volgen en getuigschrift behalen om te kunnen  deelname aan het centraal examen;</w:t>
      </w:r>
      <w:r>
        <w:br/>
      </w:r>
      <w:r>
        <w:t>-	Het slagen in het centraal examen;</w:t>
      </w:r>
      <w:r>
        <w:br/>
      </w:r>
      <w:r>
        <w:t>-	Jaarlijks een permanente vorming volgen.</w:t>
      </w:r>
    </w:p>
    <w:p w:rsidR="00423F38" w:rsidRPr="008539AC" w:rsidRDefault="008539AC" w:rsidP="008539AC">
      <w:pPr>
        <w:spacing w:after="0" w:line="240" w:lineRule="auto"/>
      </w:pPr>
      <w:r w:rsidRPr="00032DDA">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6FC" w:rsidRDefault="004236FC" w:rsidP="00DE7DA8">
      <w:pPr>
        <w:spacing w:after="0" w:line="240" w:lineRule="auto"/>
      </w:pPr>
      <w:r>
        <w:separator/>
      </w:r>
    </w:p>
  </w:endnote>
  <w:endnote w:type="continuationSeparator" w:id="0">
    <w:p w:rsidR="004236FC" w:rsidRDefault="004236FC"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8539AC" w:rsidRPr="008539AC">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6FC" w:rsidRDefault="004236FC" w:rsidP="00DE7DA8">
      <w:pPr>
        <w:spacing w:after="0" w:line="240" w:lineRule="auto"/>
      </w:pPr>
      <w:r>
        <w:separator/>
      </w:r>
    </w:p>
  </w:footnote>
  <w:footnote w:type="continuationSeparator" w:id="0">
    <w:p w:rsidR="004236FC" w:rsidRDefault="004236FC"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D52C654"/>
    <w:lvl w:ilvl="0" w:tplc="0813000F">
      <w:start w:val="1"/>
      <w:numFmt w:val="decimal"/>
      <w:lvlText w:val="%1."/>
      <w:lvlJc w:val="left"/>
      <w:pPr>
        <w:ind w:left="360" w:hanging="360"/>
      </w:pPr>
      <w:rPr>
        <w:rFonts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0A7A"/>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57A14"/>
    <w:rsid w:val="00260015"/>
    <w:rsid w:val="00266CF4"/>
    <w:rsid w:val="00286BF2"/>
    <w:rsid w:val="002A1E05"/>
    <w:rsid w:val="002A44B5"/>
    <w:rsid w:val="002C5C20"/>
    <w:rsid w:val="002D2088"/>
    <w:rsid w:val="00304C59"/>
    <w:rsid w:val="003215A3"/>
    <w:rsid w:val="00345BD2"/>
    <w:rsid w:val="003466F5"/>
    <w:rsid w:val="00350A3E"/>
    <w:rsid w:val="003524A2"/>
    <w:rsid w:val="00362EDF"/>
    <w:rsid w:val="003A0C5C"/>
    <w:rsid w:val="003B07E1"/>
    <w:rsid w:val="00415201"/>
    <w:rsid w:val="004236FC"/>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B197C"/>
    <w:rsid w:val="006D110B"/>
    <w:rsid w:val="006D6AE0"/>
    <w:rsid w:val="006E07A6"/>
    <w:rsid w:val="006E3ADB"/>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D6C50"/>
    <w:rsid w:val="00A15DC3"/>
    <w:rsid w:val="00A32D92"/>
    <w:rsid w:val="00A629FF"/>
    <w:rsid w:val="00A63B9F"/>
    <w:rsid w:val="00A65E37"/>
    <w:rsid w:val="00AA2569"/>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8688E"/>
    <w:rsid w:val="00CB1037"/>
    <w:rsid w:val="00CC1CCB"/>
    <w:rsid w:val="00CC3EBF"/>
    <w:rsid w:val="00CF1D4D"/>
    <w:rsid w:val="00D26A1D"/>
    <w:rsid w:val="00D40C24"/>
    <w:rsid w:val="00D60E07"/>
    <w:rsid w:val="00D70C35"/>
    <w:rsid w:val="00D82B29"/>
    <w:rsid w:val="00DB1A0C"/>
    <w:rsid w:val="00DE7DA8"/>
    <w:rsid w:val="00E05883"/>
    <w:rsid w:val="00E1013C"/>
    <w:rsid w:val="00E43AF4"/>
    <w:rsid w:val="00E53DD2"/>
    <w:rsid w:val="00E76C39"/>
    <w:rsid w:val="00E87D46"/>
    <w:rsid w:val="00EC6DF8"/>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C7026"/>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5</Pages>
  <Words>1010</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94</cp:revision>
  <dcterms:created xsi:type="dcterms:W3CDTF">2013-08-16T11:25:00Z</dcterms:created>
  <dcterms:modified xsi:type="dcterms:W3CDTF">2017-10-26T12:44:00Z</dcterms:modified>
</cp:coreProperties>
</file>