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0197</w:t>
      </w:r>
      <w:r>
        <w:t>)</w:t>
      </w:r>
    </w:p>
    <w:p w:rsidR="003B07E1" w:rsidRDefault="003B07E1" w:rsidP="003B07E1">
      <w:pPr>
        <w:pStyle w:val="DossierTitel"/>
      </w:pPr>
      <w:r>
        <w:t>Medewerker spoelkeuken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spoelkeuken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G160501 Afwasser (m/v) in de rubriek ‘Andere benamingen’. De sector verkiest de term ‘medewerker spoelkeuken’ omdat deze titel een positievere connotatie draagt.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‘Staat in voor het reinigen en schoonmaken van de vaat, de keukenuitrusting in een horecabedrijf of grootkeuken volgens de regels van de hygiëne en voedselveiligheid en de kwaliteitsvereisten van het bedrijf teneinde maaltijden te kunnen serveren op vaatwerk, proper conform voedselveiligheid.’</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Respecteert de persoonlijke hygiëne (co 01626)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Wast en ontsmet de handen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Bedekt eventuele wonden met wettelijk toegelaten 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werk- en beschermkledij volgens de hygiënische richtlijnen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Organiseert de vaat  (co 01627)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Organiseert het vaatwerk en het materieel in functie van de mogelijkheden van de dienst en voert deze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het werkritme aan de eisen van de keuken en de bediening van de zaal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een chronologische werkvolgorde toe bij de opeenvolgende werkzaamheden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ervoor dat het af te wassen materiaal op de juiste plaats wordt gezet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gemaakte afspraken met de betrokken departementen en hun verantwoordelijken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met de leidinggevende over de werkzaamheden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veilig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Wast af  (G160501 Id18028-c)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en etensresten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vuil serviesgoed, glaswerk, bestek, dienborden, kristal, keukengerei, zilverwerk,…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Schikt de afwas in manden naargelang de soort en duwt deze in de vaatwasmachine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Vult de vaatwasmachine of wast af in de spoelbakken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gesorteerd serviesgoed en glaswerk in rekken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rekken in de automatische was- en spoelmachine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het juiste programma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product (zeep-, spoel-, en ontkalkingsmiddelen) af op de vervuiling en het oppervlak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Start de vaatwasmachine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Schuurt potten en pannen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Ververst regelmatig het water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ergonomische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regelgeving voor voedselveiligheid en hygiëne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Droogt het vaatwerk, het glaswerk, het keukengerei af en bergt het op  (G160501 Id9650-c)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het vaatwerk uit de 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netheid van de afgewaste vaat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Verzamelt en sorteert de vaat en het leeggoed volgens soort (glazen, borden, kopjes, bestek,…)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beschadigd vaatwerk, zodat verder gebruik vermeden wordt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vuil en gereinigd vaatwerk strikt gescheiden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alle vaatwerk, glaswerk en keukengerei op de daartoe voorziene plek (karren, rekken, kasten)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regelmatig de werking van de afwasmachine (warm water, toevoer schoonmaakmiddelen) en ververst regelmatig het water in de spoelbakken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na gebruik de vaatwasmachine schoon, zuivert filters, maakt deurgoten, sproeiarmen en afwasbakken schoon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Onderhoudt en maakt de werkpost, het keukengerei en de keukenuitrusting (zwaar en groot vaatwerk - indien van toepassing) schoon  (G160501 Id7178-c)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Wast groot vaatwerk, keukeninstallaties en werkinstrumenten (ketels, kookdouches, frigo’s, karren bakplaten, warm water baden, frituren, ovens, dampkappen, vergieten,…)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het onderhoudsplan en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volgens duidelijk omschreven methodes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en etensresten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techniek, het materieel en de schoonmaakproducten af op de opdracht (weken, schrobben, schuren, ontvetten, ontsmetten,…)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product af op de vervuiling en het oppervlak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veiligheidsvoorschriften toe bij omgang met afwasproducten, bestekken en toestellen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het materiaal vooraleer het op te bergen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de vuilniszakken  of- bakken leeg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Signaleert storingen of breuken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Bedient en onderhoudt een industriële vaatwasmachine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regelmatig het goed functioneren van de vaatwasmachine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Detecteert en rapporteert storingen of defecten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Ontkalkt het toestel indien nodig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Neemt deel aan inventariseren van het vaatwerk (co 01628)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Telt het aantal stuks vaatwerk, bestek,…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beschadigd vaatwerk zodat verder gebruik vermeden wordt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de aantallen op het daarvoor bestemde formulier/document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de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Volgt de voorraad van afwasproducten en -materieel op  (co 01629)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voorraad van afwasproducten en -materieel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voorraadgegevens bij</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Vraagt tijdig nieuwe producten en/of materiaal via de bedrijfsprocedure</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afwasproducten en de chemische inwerking  op vuile vaat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eenvoudige registratietechnieken en aanverwante 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geldende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opmaken van inventarissen voor vaatwerk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 en-hygiëne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m.b.t. afwas- en reinigingsproducten, machines en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efficiënte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 m.b.t. efficiënte samenwerking van keuken, zaal en spoelkeuken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mondelinge rapportering m.b.t. het eigen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onderhoudsplan en -richtlijnen m.b.t. eigen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disfunctioneren van machines of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ontkalken, reinigen en onderhouden van de vaatwasmachine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bedrijfsprocedures die van toepassing zijn op het eigen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opvolgen van voorraad van afwasproducten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bedrijfsprocedures voor eigen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afvalsortering in de spoelkeuken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op de reinheid en hygiëne van vaatwerk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 van vaatwasmachine en spoelkeuken na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reinigingsfiches van keukeninstallaties en werkinstrumenten (oven,…)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schoonmaakproducten en toepassingen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afwasactiviteiten (weken, spoelen, schrobben, ontvetten,…)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de vaatwasmachine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sorteren van materieel voor de spoelkeuken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sorteren en opbergen van gereinigd vaatwerk en materieel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vaatwerk en hun onderhoud/reiniging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reinigen van het vaatwerk en het materieel met respect voor de timing en de voortgang van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het werkritme aan de eisen van de keuken en de bediening in de zaal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een chronologische werkvolgorde bij opeenvolgende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gemaakte afspraken met betrokken departementen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het juiste programma voor de automatische was- en spoelmachine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hoeveelheid product (zeep-, spoel-, en ontkalkingsmiddel) op de vervuiling en het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regelgeving voor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netheid van de afgewaste vaat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gescheiden houden van gereinigd en vuil vaatwerk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de afwasmachine op regelmatige basis (warm water, toevoer schoonmaakmiddelen,…)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duidelijk omschreven methodes en bedrijfsprocedures m.b.t het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schoonmaaktechniek op de opdracht (weken, schrobben, schuren, ontvetten,…)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veiligheidsvoorschriften bij omgang met afwasproducten en bestekken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inventaris en registreren van de aantallen op de daartoe bestemde documenten volgens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voorraad van afwasproducten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de gegevens van de eigen voorraad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tijdig kunnen melden van voorraad tekorten m.b.t. afwasmiddel en -materieel</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het werkritme en -planning bij piekmomenten en wijzigende klantenstromen door overleg en concrete afspraken met keuken en zaal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detectie van disfunctioneren van toestellen of materieel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tijdig kunnen signaleren van breuken volgens bedrijfsprocedure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af te wassen materiaal op de juiste 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veilig 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van de afwas in manden naargelang de soort in de afwasmachine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afwassen in spoelbakken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gesorteerd serviesgoed en glaswerk in rekken in de automatische was- en spoelmachine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schuren van potten en pannen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uitnemen van het gereinigd vaatwerk uit de afwasmachine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afdrogen van vaatwerk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vaat en leeggoed volgens soort (glazen, borden, kopjes, bestek,…)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beschadigd vaatwerk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vaatwerk, glaswerk en keukengerei op de daartoe voorziene plek (karren, rekken, kasten)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de vaatwasmachine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zuiveren van filters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deurgoten, sproeiarmen en afwasbakken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afwassen van groot vaatwerk, keukeninstallaties en werkinstrumenten (ketels, kookdouches, frigo’s, karren, bakplaten, warm waterbaden, frituren, ovens, dampkappen, vergieten,…)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en etensresten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het keukenmateriaal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leeg maken van vuilniszakken of -bakken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ontkalken van de industriële vaatwasmachine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tellen van het aantal stuks vaatwerk, bestek,… in functie van de opmaak van de inventaris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wassen en ontsmetten van handen volgens de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bedekken van wonden met wettelijk toegelaten 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dragen van werk- en beschermkledij volgens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van de afwas in manden, naargelang de soort en het duwen van de manden in de vaatwasmachine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vaatwasmachine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schuren van potten en pannen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ledigen van de vaatwasmachine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regelmatig kunnen verversen van water in de spoelbakken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diverse horecabedrijven (restaurants, ondernemings- of gemeenschapsrestaurants/grootkeukens, selfservice, mobiele restauratie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spoelkeuken moet zich aanpassen aan de verscheidenheid in werkomgeving en taakinvulling : de activiteiten variëren immers naargelang de omvang van het bedrijf en de organisatie ervan (automatisch/manuele afwas,…)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meestal plaats in een deel van de keuken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spoelkeuken werkt in team en kan een goede werkrelatie opbouwen met de departementen keuken en zaal: hij werkt gecoördineerd met deze afdelingen en de personeelsleden (kok, koksknecht, kelners,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worden uitgeoefend met flexibele of onderbroken werkuren, in het weekend en op feestdagen, met drukke en kalme 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spoelkeuken blijft kalm en werkt efficiënt bij piekmomenten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beroepskledij (schort, laarzen,…) is vereist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Mobiele restauratie : hiermee wordt bedoeld restauratie op trein, cruiseschepen, boten, e.d.</w:t>
      </w:r>
      <w:r>
        <w:br/>
      </w:r>
      <w:r>
        <w:t/>
      </w:r>
      <w:r>
        <w:br/>
      </w:r>
      <w:r>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vaatwasmachine geeft een bepaald werkritme aan, lawaai, warmte uitstraling en vocht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Er is rechtsreeks contact met afval en voedselresten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Bijzondere aandacht voor persoonlijke hygiëne, hygiëne op de werkvloer en voedselveiligheid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spoelkeuken heeft bijzonder aandacht voor het omgaan met snijmachines en scherpe voorwerpen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medewerker-spoelkeuken moet vaat- en glaswerk voorzichtig behandelen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spoelkeuken heeft bijzonder aandacht voor omgang met glaswerk en glasbreuk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spoelkeuken heeft aandacht voor het toepassen van de veiligheidsvoorschriften bij omgang met afwasproducten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routinematige bewegingen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houdt langdurig rechtstaan en het hanteren van lasten in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maar werkt in opdracht en onder supervisie, in het uitvoeren van het eigen takenpakket  (het zorgen voor en het goede verloop van de vaat, het efficiënt bedienen van de afwasmachine, het hygiënisch afwassen, het afdrogen, sorteren en opbergen van gereinigd vaatwerk,  het onderhouden van werkpost, keukengerei en –uitrusting, het opvolgen van de voorraad van afwasproducten en -materieel)</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instructies, bedrijfsprocedures en -afspraken, regels met betrekking tot voedselveiligheid en hygiëne, veiligheidsvoorschriften, persoonlijk voorkomen en hygiëne, het werkritme van keuken en zaal</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bij problemen en bij uitputting van reinigingsproducten, bij storingen, defecten of breuken, bij registratie van de inventaris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 georganiseerde werking en coördinatie van spoelkeuken met  werkritme afgestemd op de activiteiten van keuken en zaal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Toepassing van de juiste afwastechnieken en het veilig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Orde, netheid en hygiëne in de spoelkeuken en onderhouden keukenuitrusting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gecontroleerde, hygiënisch propere vaat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 gebruik, correcte bediening  en onderhoud van de vaatwasmachine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bij inventarisatie van het vaatwerk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Gereinigd, gedroogd en correct opgeborgen vaatwerk, glaswerk en keukengerei, op de toegewezen 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voorraad van afwasproducten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Ergonomische hef- en tiltechnieken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 gebruik en de juiste dosering van reinigingsmiddelen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Persoonlijke hygiëne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Medisch attest voor werken in de voeding volgens de wettelijke regelgeving. </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