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0270</w:t>
      </w:r>
      <w:r>
        <w:t>)</w:t>
      </w:r>
    </w:p>
    <w:p w:rsidR="003B07E1" w:rsidRDefault="003B07E1" w:rsidP="003B07E1">
      <w:pPr>
        <w:pStyle w:val="DossierTitel"/>
      </w:pPr>
      <w:r>
        <w:t>Kinderbegeleider schoolgaande kinderen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Kinderbegeleider schoolgaande kinderen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kinderbegeleider schoolgaande kinderen begeleidt de kinderen van de basisschool buiten de schooltijd en draagt bij aan hun algemene ontwikkeling, dit in samenwerking met ouders, collega’s en externen rekening houdend met de diversiteit in de samenleving teneinde het kind zich goed te laten voelen en de ouders als eerste opvoeders te ondersteunen.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Gaat op een positieve, opbouwende manier om met alle kinderen, ouders, collega’s en anderen  (K130301 Id41350-c)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elke persoon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open voor verschillende meningen over opvoeding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Kent de eigen manier van omgaan met kinderen, ouders, collega’s of anderen. Accepteert dat zijn manier verschillend kan zijn van deze van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kinderen om respect te tonen voor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Laat kinderen in de opvang, tijdens de activiteiten op een positieve manier kennismaken met gelijkenissen en verschillen tussen kinderen, gezinnen en de wereld om hen heen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privacy van alle personen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thuistaal van elk kind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Observeert het gedrag van het kind, reflecteert hierover en stemt zijn handelen hierop af (K130301 Id18117-c)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naar het gedrag van de kinderen en gaat na hoe ze zich voelen en of ze betrokken zijn op wat er om hen heen gebeurt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wat hij gezien heeft met een collega/de verantwoordelijke en past waar nodig zijn manier van omgaan met de kinderen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Vangt signalen van het kind op en bespreekt deze met collega’s en de ouders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symptomen van ziek zijn (koorts, diarree, braken)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Biedt kinderen een gevarieerde vrije tijd aan, stimuleert hun ontwikkeling, gaat uit van hun talenten en ondernemingszin (K130301 Id16735-c)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naar de talenten van de kinderen en geeft hen op een leuke en uitdagende manier kansen om te spelen en zich te ontplooien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elk kind ruimte om op zijn eigen manier en volgens zijn interesses te spelen, dingen te ondernemen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Speelt mee en speelt in op datgene waarmee het kind bezig is, improviseert, is creatief en expressief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Bevordert de zelfstandigheid van de kinderen en helpt enkel wanneer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Biedt activiteiten aan op maat van de kinderen en met een bepaalde uitdaging of moeilijkheidsgraad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Moedigt het kind aan tot initiatief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en begeleidt activiteiten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Ondersteunt het kind bij al zijn activiteiten (co 02190)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Laat ruimte voor vrij spel en biedt keuzemogelijkheden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Speelt gericht mee (bijvoorbeeld voetballen)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iets vernieuwends aan bij het spel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Tilt en draagt de jonge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 kindhoogte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deel aan de spel- en bewegingsactiviteiten van de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Kijkt en luistert naar de kinderen en speelt hierop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Praat veel met de kinderen op alle momenten van de dag en maakt gebruik van een rijke taal (spreekt in volzinnen en geen kindertaal)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een kind aan tot nieuwe, onbekende activiteiten (grenzen verleggen)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de kinderen, ouders en anderen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structuur tijdens het opvangmoment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dagindeling duidelijk is voor het kind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Geeft kansen aan kinderen om hun sociale vaardigheden te oefenen, stimuleert positieve contacten tussen de kinderen onderling en stelt grenzen (co 02191)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interesse en is alert voor wat er zich in de groep afspeelt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positieve sfeer in de 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Stimuleert positieve en respectvolle contacten tussen kinderen onderling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kinderen ruimte om verdraagzaam te leren samen spelen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grenzen en leert kinderen omgaan met grenzen en het nemen van verantwoordelijkheden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kinderen inspraak in wat ze tijdens hun vrije tijd doen (of niet doen)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Herkent de sociaal-emotionele behoeften van het kind en speelt hierop in (K130301 Id16778-c)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elk kind het gevoel dat hij /zij welkom is en erbij hoort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Benadert elk kind op een positieve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op als een kind bang, boos, blij of verdrietig is en verwoordt de gevoelens van het kind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als kinderen er nood aan hebben, geeft hen elk de nodige aandacht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probleemgedrag (bv. pesten) en conflicten (ruzie maken), en speelt hier gepast op in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Zorgt voor een stimulerende, veilige, hygiënische  en gezonde speelomgeving voor kinderen (K130301 Id9513-c)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ruimte in met speelhoeken die aansluiten bij de interesses van en diversiteit onder de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veilige omgeving en voor veilig materiaal voor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basisprincipes ter preventie van ziekte en ter bevordering van de gezondheid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adequaat om met onverwachte situaties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de voorgeschreven procedures als de veiligheid van een kind in gevaar is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met ouders en erkent hen als eerste opvoeder (K130301 Id41361-c)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Erkent en waardeert de ouders als eerste opvoeder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vragen over de aanpak en de gewoonten van het kind en over de verwachtingen van de ouders ten aanzien van de opvang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ouders over een aanpak van het kind in de opvang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Vertelt hoe het kind zich voelt in de opvang en waarmee het bezig is geweest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samen met ouders op basis van vertrouwen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feedback aan de ouders over de opvang en gaat hier constructief mee 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actief naar bezorgdheden, klachten of problemen van de ouders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ouders onderling aan elkaar voor en stimuleert ontmoeting tussen ouders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met anderen in functie van de opvang van het kind (K130301 Id23310-c)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activiteiten uit met medewerkers van organisaties en scholen in de buurt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met kinderen (en/of ouders) deel aan activiteiten in de buurt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 vraag van ouders samen met anderen (bv. als een kind specifieke zorg nodig heeft): past gemaakte afspraken toe, wisselt informatie en ervaringen uit, overlegt  over de aanpak van het kind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samen, geeft feedback en maakt afspraken  (K130301 Id41355-c)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collega’s, verantwoordelijke, over de aanpak en opvolging van kinderen (individu of groep)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met collega ’s, verantwoordelijke, het omgaan met ouders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gevoeligheden en de verscheidenheid aan mensen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conflicten tijdig aan en maakt ze bespreekbaar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en aanvaardt feedback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Reflecteert over de werking en draagt bij tot het verbeteren van de kinderopvang (K130301 Id41357-c)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eigen handelen in vraag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Luistert actief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Bekijkt een probleem door de bril van de verschillende betrokken personen (bijvoorbeeld het kind, zijn ouders, een collega)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in overleg met collega’s, pedagogisch ondersteuner naar een gezamenlijke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Verbetert het eigen handelen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Bedenkt samen met collega’s verbeterpunten voor de werking van de buitenschoolse opvang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Begeleidt de kinderen bij hun aankomst en afhaalmoment (J130401 Id17965-c)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nieuwe kinderen in de opvang de kans om te wennen en maakt hen wegwijs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Heet elk kind welkom en neemt afscheid als het weg gaat.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Vertelt aan ouders hoe het kind zich voelt in de opvang en waarmee hij/zij bezig is geweest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Noteert de aanwezigheden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en begeleidt eetmomenten (vieruurtje, (eventueel) lunch op woensdagmiddag) (co 02192)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behoeften van kinderen aan eten, drinken en stemt de praktische organisatie hierop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het eetmoment voor een groep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voedings- en dieetvoorschriften voor het kind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eetmomenten volgens de leeftijd, ontwikkeling en mogelijkheden van de kinderen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de kleuter om zelfstandig te eten, te drinken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duur van het eetmoment af op de behoeften van het kind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tijdens het eetmoment aandacht voor de beleving van het kind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rust- en bewegingsmomenten (co 02193)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behoeften van een kind aan rust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kinderen die er nood aan hebben, kunnen rusten of hun huiswerk kunnen maken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de behoeften van kinderen aan beweging en geeft hen hiertoe de ruimte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Stimuleert de kinderen tot bewegen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kinderen ruimte om rond te hangen, niets te doen, vrij te spelen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Zorgt voor de kinderen in functie van hun behoeften (co 02194)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verzorging aan de behoeften van het kind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wat er gebeurt en speelt er op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elk kind individuele aandacht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rechtvaardig op conflictsituaties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het kind om voor zichzelf te zorgen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Helpt -in samenspraak met de ouders - om de kleuter zindelijk te worden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over verschillende opvoedingsvisies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over vormen van kinderopvang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groepsprocessen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organisaties waarmee je in de kinderopvang samenwerkt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lokale context waarin kinderen opgroeien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Internationaal Verdrag van de Rechten van het Kind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inrichten van stimulerende speelomgeving voor schoolgaande kinderen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pedagogie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principes over omgaan met diversiteit in de kinderopvang: verschillende achtergronden, maatschappelijk kwetsbare gezinnen, kinderen met een beperking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deontologisch handelen in de kinderopvang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over de basisbehoeften en de algemene ontwikkeling van schoolgaande kinderen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over communicatie met ouders in de kinderopvang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over welbevinden en betrokkenheid van kinderen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ziektepreventie en gezondheidsbevordering bij kinderen (dieet, culturele achtergrond of opvattingen)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om de veiligheid van de kinderen te garanderen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levensreddend handelen van 0 tot 12 jaar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heffen en tillen van jonge kinderen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ontwikkeling van kinderen uit de basisschool op fysiek, psychisch, sociaal-relationeel, emotioneel, communicatief, creatief en moreel vlak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observatietechnieken voor de kinderopvang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animatie- en spelvormen met schoolgaande kinderen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basisinrichting van stimulerende leefomgeving voor schoolgaande kinderen (interessante hoeken, infrastructuur en uitrusting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basismethoden voor (zelf-)reflectie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informatiebronnen (sites om spelactiviteiten op te zoeken, bijscholingen,...)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taalstimulering en van het omgaan met meertaligheid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Nederlands (Kan zich spontaan uitdrukken. Zij/hij kan een conversatie voeren met de kinderen en kan rapporteren aan anderen. Kan korte verslagen en mededelingen noteren)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elke persoon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Staat open voor verschillende meningen over opvoeding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Kent de eigen manier van omgaan met kinderen, ouders, collega’s of anderen. Accepteert dat zijn manier verschillend kan zijn van deze van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kinderen om respect te tonen voor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kinderen in de opvang, tijdens de activiteiten op een positieve manier kennismaken met gelijkenissen en verschillen tussen kinderen, gezinnen en de wereld om hen heen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alle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thuistaal van elk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naar het gedrag van de kinderen en gaat na hoe ze zich voelen en of ze betrokken zijn op wat er om hen heen gebeurt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wat hij gezien heeft met een collega/de verantwoordelijke en past waar nodig zijn manier van omgaan met de kinderen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Vangt signalen van het kind op en bespreekt deze met collega’s en de ouders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symptomen van ziek zijn (koorts, diarree, braken)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naar de talenten van de kinderen en geeft hen op een leuke en uitdagende manier kansen om te spelen en zich te ontplooien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elk kind ruimte om op zijn eigen manier en volgens zijn interesses te spelen, dingen te ondernemen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Speelt mee en speelt in op datgene waarmee het kind bezig is, improviseert, is creatief en expressief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Bevordert de zelfstandigheid van de kinderen en helpt enkel wanneer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Biedt activiteiten aan op maat van de kinderen en met een bepaalde uitdaging of moeilijkheidsgraad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Moedigt het kind aan tot initiatief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en begeleidt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Laat ruimte voor vrij spel en biedt keuzemogelijkheden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Speelt gericht mee (bijvoorbeeld voetballen)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iets vernieuwends aan bij het spel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deel aan de spel- en bewegingsactiviteiten van de kinderen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Praat veel met de kinderen op alle momenten van de dag en maakt gebruik van een rijke taal (spreekt in volzinnen en geen kindertaal)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Zet een kind aan tot nieuwe, onbekende activiteiten (grenzen verleggen)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met de kinderen, ouders en anderen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structuur tijdens het opvangmoment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dagindeling duidelijk is voor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positieve sfeer in de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positieve en respectvolle contacten tussen kinderen onderling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kinderen ruimte om verdraagzaam te leren samen spelen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grenzen en leert kinderen omgaan met grenzen en het nemen van verantwoordelijkheden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kinderen inspraak in wat ze tijdens hun vrije tijd doen (of niet doen)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elk kind het gevoel dat hij /zij welkom is en erbij hoort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Benadert elk kind op een positieve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op als een kind bang, boos, blij of verdrietig is en verwoordt de gevoelens van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gepast als kinderen er nood aan hebben, geeft hen elk de nodige aandacht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ruimte in met speelhoeken die aansluiten bij de interesses van en diversiteit onder de kinderen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een veilige omgeving en voor veilig materiaal voor kinderen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basisprincipes ter preventie van ziekte en ter bevordering van de gezondheid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Erkent en waardeert de ouders als eerste opvoeder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vragen over de aanpak en de gewoonten van het kind en over de verwachtingen van de ouders ten aanzien van de opvang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de ouders over een aanpak van het kind in de opvang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Vertelt hoe het kind zich voelt in de opvang en waarmee het bezig is geweest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samen met ouders op basis van vertrouwen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feedback aan de ouders over de opvang en gaat hier constructief mee om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 naar bezorgdheden, klachten of problemen van de ouders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ouders onderling aan elkaar voor en stimuleert ontmoeting tussen ouders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activiteiten uit met medewerkers van organisaties en scholen in de buurt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met kinderen (en/of ouders) deel aan activiteiten in de buurt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op vraag van ouders samen met anderen (bv. als een kind specifieke zorg nodig heeft): past gemaakte afspraken toe, wisselt informatie en ervaringen uit, overlegt  over de aanpak van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Overlegt met collega’s, verantwoordelijke, over de aanpak en opvolging van kinderen (individu of groep)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met collega ’s, verantwoordelijke, het omgaan met ouders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rekening met de gevoeligheden en de verscheidenheid aan mensen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en aanvaardt feedback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eigen handelen in vraag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Luistert actief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Bekijkt een probleem door de bril van de verschillende betrokken personen (bijvoorbeeld het kind, zijn ouders,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Zoekt in overleg met collega’s, pedagogisch ondersteuner naar een gezamenlijke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Verbetert het eigen handelen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Bedenkt samen met collega’s verbeterpunten voor de werking van de buitenschoolse opvang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nieuwe kinderen in de opvang de kans om te wennen en maakt hen wegwijs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Heet elk kind welkom en neemt afscheid als het weg gaat.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Vertelt aan ouders hoe het kind zich voelt in de opvang en waarmee hij/zij bezig is geweest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behoeften van kinderen aan eten, drinken en stemt de praktische organisatie hierop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het eetmoment voor een groep kinderen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voedings- en dieetvoorschriften voor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Begeleidt eetmomenten volgens de leeftijd, ontwikkeling en mogelijkheden van de kinderen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de duur van het eetmoment af op de behoeften van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tijdens het eetmoment aandacht voor de beleving van het kind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behoeften van een kind aan rust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kinderen die er nood aan hebben, kunnen rusten of hun huiswerk kunnen maken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de behoeften van kinderen aan beweging en geeft hen hiertoe de 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Stimuleert de kinderen tot bewegen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kinderen ruimte om rond te hangen, niets te doen, vrij te spelen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wat er gebeurt en speelt er op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elk kind individuele aandacht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Reageert rechtvaardig op conflictsituaties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Helpt -in samenspraak met de ouders - om de kleuter zindelijk te worden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Kijkt en luistert naar de kinderen en speelt hierop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Toont interesse en is alert voor wat er zich in de groep afspeelt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Ziet probleemgedrag (bv. pesten) en conflicten (ruzie maken), en speelt hier gepast op in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adequaat om met onverwachte situaties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Handelt volgens de voorgeschreven procedures als de veiligheid van een kind in gevaar is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Geeft conflicten tijdig aan en maakt ze bespreekbaar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Helpt de kleuter om zelfstandig te eten, te drinken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Tilt en draagt de jonge kinderen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op kindhoogte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Noteert de aanwezigheden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Past de verzorging aan de behoeften van het kind aan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Helpt het kind om voor zichzelf te zorgen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binnen een omgeving waar de kinderbegeleider structuur aanbrengt voor de kinderen.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gaat om met een verscheidenheid aan kinderen, gezinnen, externen en collega’s.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werkt in de gezinsopvang of in de groepsopvang.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in groepsopvang (groep van minimaal 9 kinderen) werkt in team onder leiding van verantwoordelijke.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gezinsopvang (groep maximaal tot en met 8 kinderen) kan beroep doen op de verantwoordelijke.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 buitenschoolse groepsopvang wordt er meestal gewerkt met deeltijdse jobs, met een variabel, onderbroken (voor schooltijd, na schooltijd) uurrooster.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Tijdens schoolvakanties zijn kinderen een hele dag in de opvang.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 gezinsopvang kunnen er naast schoolgaande kinderen ook baby's en peuters opgevangen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aantal kinderen en de groepssamenstelling verandert van het moment en de activiteit. Sommige kinderen komen uitsluitend tijdens de vakantie. Andere komen een beperkt aantal 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werkt samen met verschillende groepen: bijvoorbeeld met de kinderen en met de ouders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leeftijden van de kinderen variëren tussen de 2½ jaar en het moment waarop de kinderen de basisschool verlaten, Als er ook baby’s en peuters gelijktijdig worden opgevangen, is de variëteit nog groter.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 opvang zijn er soms kinderen met een beperking/ specifieke ontwikkelingsbehoefte.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kinderbegeleider begeleidt de kinderen op weg van en naar de school.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Na een schooldag kunnen kinderen in de opvang nood hebben aan rust of aan ruimte om zich af te reageren.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gaat empathisch om met kinderen en ouders.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is betrouwbaar en werkt loyaal samen met collega’s en externen.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handelt integer en ethisch.</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verdeelt zijn aandacht tussen de zorg voor één kind en het aandacht hebben voor de groep.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bouwt een vertrouwensrelatie op met de kinderen.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bekijkt de ontwikkeling van kinderen als een geheel  en verbindt de zorg- en pedagogische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stelt zich flexibel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is georganiseerd en kan gestructureerd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neemt initiatief.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werkt ergonomisch en kan kinderen tillen en dragen en werkt op kindhoogte.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werken met een groep kinderen vergt stressbestendigheid om tegemoet te komen aan de behoeften van de verschillende kinderen.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is alert om de veiligheid van de kinderen te garanderen en de risico’s op ongevallen te beperken.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kinderbegeleider neemt een sensitief- responsieve basishouding aan: de signalen en de behoeften van de kinderen opmerken, juist interpreteren en er op een gepaste manier op ingaan.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stellen van prioriteiten tijdens de dagelijkse werking op basis van de signalen en de behoeften van de kinderen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indelen van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structurerend te werken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opvangplan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eigenheid van het kind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gemaakte afspraken met ouders, teamleden, de organisator, de pedagogisch ondersteuners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ouders voor het uitwisselen van de dagelijkse informatie over het welzijn van het kind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om afspraken te maken over de aanpak van een kind, de afspraken bij ziekte, ongeval van een kind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als er klachten zijn, een crisis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voor vragen over de praktische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collega’s om informatie uit te wisselen en af te toetsen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deskundigen als het gaat over de aanpak van kinderen met specifieke zorgbehoeften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Gaat op een positieve, opbouwende manier om met alle kinderen, ouders, collega’s en anderen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Observeert het gedrag van het kind, reflecteert hierover en stemt zijn handelen hierop af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Biedt kinderen een gevarieerde vrije tijd aan, stimuleert hun ontwikkeling, gaat uit van hun talenten en ondernemingszin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Ondersteunt het kind bij al zijn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kansen aan kinderen om hun sociale vaardigheden te oefenen, stimuleert positieve contacten tussen de kinderen onderling en stelt grenzen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Herkent de sociaal-emotionele behoeften van het kind en speelt hierop in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een stimulerende, veilige, hygiënische  en gezonde speelomgeving voor kinderen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ouders en erkent hen als eerste opvoeder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met anderen in functie van de opvang van het kind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samen, geeft feedback en maakt afspraken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Reflecteert over de werking en draagt bij tot het verbeteren van de kinderopvang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Begeleidt de kinderen bij hun aankomst en afhaalmoment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en begeleidt eetmomenten (vieruurtje, (eventueel) lunch op woensdagmiddag)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rust- en bewegingsmomenten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voor de kinderen in functie van hun behoeften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t>Voor de beroepsuitoefening van ‘</w:t>
      </w:r>
      <w:r w:rsidRPr="0080704E">
        <w:rPr>
          <w:u w:val="single"/>
        </w:rPr>
        <w:t>Kinderbegeleider schoolgaande kinderen </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Attest kennis van levensreddend handelen bij kinderen zoals bepaald in BVR van 23 februari 2001 houdende de voorwaarden inzake erkenning en subsidiëring van kinderdagverblijven en diensten voor opvanggezinnen (en wijzigingen)</w:t>
      </w:r>
    </w:p>
    <w:p w:rsidR="00C2126F" w:rsidRPr="007F08C3" w:rsidRDefault="00C2126F" w:rsidP="00C2126F">
      <w:pPr>
        <w:pStyle w:val="ListParagraph"/>
        <w:numPr>
          <w:ilvl w:val="0"/>
          <w:numId w:val="19"/>
        </w:numPr>
        <w:spacing w:after="0" w:line="240" w:lineRule="auto"/>
      </w:pPr>
      <w:r>
        <w:t>Attest medische geschiktheid zoals bepaald in BVR van 23 februari 2001 houdende de voorwaarden inzake erkenning en subsidiëring van kinderdagverblijven en diensten voor opvanggezinnen (en wijzigingen)</w:t>
      </w:r>
    </w:p>
    <w:p w:rsidR="00C2126F" w:rsidRPr="007F08C3" w:rsidRDefault="00C2126F" w:rsidP="00C2126F">
      <w:pPr>
        <w:pStyle w:val="ListParagraph"/>
        <w:numPr>
          <w:ilvl w:val="0"/>
          <w:numId w:val="19"/>
        </w:numPr>
        <w:spacing w:after="0" w:line="240" w:lineRule="auto"/>
      </w:pPr>
      <w:r>
        <w:t>minimum 18 jaar zijn zoals bepaald in BVR van 23 februari 2001 houdende de voorwaarden inzake erkenning en subsidiëring van kinderdagverblijven en diensten voor opvanggezinnen (en wijzigingen)</w:t>
      </w:r>
    </w:p>
    <w:p w:rsidR="00C2126F" w:rsidRPr="007F08C3" w:rsidRDefault="00C2126F" w:rsidP="00C2126F">
      <w:pPr>
        <w:pStyle w:val="ListParagraph"/>
        <w:numPr>
          <w:ilvl w:val="0"/>
          <w:numId w:val="19"/>
        </w:numPr>
        <w:spacing w:after="0" w:line="240" w:lineRule="auto"/>
      </w:pPr>
      <w:r>
        <w:t>Uittreksel uit het strafregister, model 2 zoals bepaald in BVR van 23 februari 2001 houdende de voorwaarden inzake erkenning en subsidiëring van kinderdagverblijven en diensten voor opvanggezinnen (en wijzigingen)</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4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