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Industrieel verpakker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BK-0098-2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Industrieel verpakker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Competent-fiche H220101 gebruikt in de rubriek “Andere benamingen” de benaming ‘Inpakker in een kistenfabriek (m/v)’ voor het beroep industrieel verpakker.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grondstoffen, in- en omstellen van machines, bewerken, vergaren, herstellen, inpakken en afwerken van de onderdelen teneinde kisten voor transport, aan de hand van een werkopdracht, te vervaardigen.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en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correct en overzichtelijk hout- en meetstaat op voor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tekeningen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paletten, kratten en industriële verpakking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op peil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materialen en onderneemt actie bij afwijkingen (gebreken,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 / 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tekeningen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de grondstoffen voor op de werkopdracht (uitsmetten, opdelen, aftekenen, paren,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tekeningen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Selecteert, controleert, monteert en vervangt (snij)gereedschappen op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Stelt (houtbewerkings)machines in en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veiligheidsvoorzieningen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Bewerkt onderdelen met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Vergaart onderdelen van industriële verpakkingen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tekeningen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paletten, kratten en industriële verpakking</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paletten, kratten en industriële verpakking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Herstelt paletten en kratten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paletten en kratten geschikt zijn voor herstelling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onderdelen kunnen hergebruikt worden en welke moeten vernieuwd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Vervaardigd te vernieuwen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nieuwe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kwaliteit en maatvoering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paletten, kratten en industriële verpakking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Verduurzaamt oppervlakken van paletten, kratten en industriële verpakkingen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regelgeving betreffende behandelen van hout voor internationaal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verduurzamingsproducten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verduurzamingsproducten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producten voor houtverduurzaming</w:t>
      </w:r>
      <w:r w:rsidRPr="000F2A0A">
        <w:rPr>
          <w:sz w:val="22"/>
        </w:rPr>
        <w:t/>
      </w:r>
    </w:p>
    <w:p w:rsidR="000F2A0A" w:rsidRDefault="000F2A0A" w:rsidP="000F2A0A">
      <w:pPr>
        <w:pStyle w:val="Voetnoot"/>
        <w:numPr>
          <w:ilvl w:val="1"/>
          <w:numId w:val="14"/>
        </w:numPr>
      </w:pPr>
      <w:r w:rsidRPr="000F2A0A">
        <w:rPr>
          <w:sz w:val="22"/>
        </w:rPr>
        <w:t/>
      </w:r>
      <w:r>
        <w:rPr>
          <w:sz w:val="22"/>
        </w:rPr>
        <w:t>Basiskennis van regelgeving over behandelen van hout voor internationaal transport</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verduurzamingstechnieken en -middelen voor hout in functie van de eigen werkzaamheden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Werkt de paletten, kratten en  industriële verpakking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onvolkomenheden aan de paletten, kratten en industriële verpakking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en regelt hang- en sluitwerk voor industriële verpakkingen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hang- en sluitwerk voor industriële verpakkingen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preventief basisonderhoud uit van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(NC)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Transporteert intern grondstoffen, constructieonderdelen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verpakkings- en beschermingstechnieken en -middelen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Pakt onderdelen voor transport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controleert, volgens order, of alle in te pakken onderdelen aanwezig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volgens een logische volgorde de  onderdelen op de bodemplaat (palet)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luchtdichte en vochtwerende bescherming rond de goederen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Stut en ondersteunt 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holtes in kisten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de industriële verpakking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verpakkings- en beschermingstechnieken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luchtdichte en vochtwerende bescherming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Maakt industriële verpakking klaar voor transport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verpakte goederen van een identificatie ( etiket, barcode,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volgens een logische volgorde klaar voor verzending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volgens order, of alle onderdelen aanwezig zijn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voorschriften en identificaties van transport en industriële verpakking</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verpakkings- en beschermingstechnieken en -middelen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producten voor houtverduurzaming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regelgeving over behandelen van hout voor internationaal transport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en identificaties van transport en industriële verpakking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hang- en sluitwerk voor industriële verpakkingen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 en beschermingstechnieken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luchtdichte en vochtwerende bescherming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verduurzamingstechnieken en -middelen voor hout in functie van de eigen werkzaamheden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(NC)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paletten, kratten en industriële verpakking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paletten, kratten en industriële verpakking</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paletten en kratten geschikt zijn voor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welke onderdelen kunnen hergebruikt worden en welke moeten vernieuwd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regelgeving betreffende behandelen van hout voor internationaal transport.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volgens order, of alle onderdelen aanwezig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hout- en meetstaat op voor de eigen werkzaamheden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en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op peil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leveringen in ontvangst en controleert de leveringen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 / 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 indien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Vervaardigd te vernieuwen 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nieuwe 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verduurzamingsproducten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verduurzamingsproducten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visueel de kwaliteit van de behandelde oppervlakte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onvolkomenheden aan de paletten, kratten en industriële verpakking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en regelt hang- en sluitwerk voor industriële verpakkingen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en controleert, volgens order, of alle in te pakken onderdelen aanwezig zijn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volgens een logische volgorde de  onderdelen op de bodemplaat (palet)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luchtdichte en vochtwerende bescherming rond de goederen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Stut en ondersteunt de goederen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holtes in kisten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de industriële verpakking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de verpakte goederen van een identificatie ( etiket, barcode,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volgens een logische volgorde klaar voor verzending</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 en / of op locatie  bij de klant en vergt de nodige mobiliteit.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houtgebruik.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en/of op locatie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werkopdracht op maat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hout-, meet- en materiaalstaat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het zaagplan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zijn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werkzaamheden, het voorbereiden, het bewerken, het vergaren, het (af)monteren, het afwerken en het controleren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en werktekeningen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industriële verpakkingen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Herstelt paletten en kratten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Verduurzaamt oppervlakken van paletten, kratten en industriële verpakkingen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de paletten, kratten en  industriële verpakking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Pakt onderdelen voor transport in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industriële verpakking klaar voor transport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