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0313</w:t>
      </w:r>
      <w:r>
        <w:t>)</w:t>
      </w:r>
    </w:p>
    <w:p w:rsidR="003B07E1" w:rsidRDefault="003B07E1" w:rsidP="003B07E1">
      <w:pPr>
        <w:pStyle w:val="DossierTitel"/>
      </w:pPr>
      <w:r>
        <w:t>Milieucoördinator type A</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Milieucoördinator type A</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milieucoördinator type A coördineert en verzekert de bedrijfsinterne milieuzorg (BIM) op een onafhankelijke en adviserende wijze en in nauwe samenwerking met de bedrijfsleiding en de overheid, conform de milieuwetgeving, en geeft richting aan de strategie van bedrijven en organisaties op het vlak van leefmilieu teneinde duurzame productiepatronen na te streven en de milieubelasting van een bedrijf in al zijn aspecten te beheersen en te beperken, in het bijzonder in inrichtingen en activiteiten met de grootste milieu-impact die een milieucoördinatorplicht van type A hebben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7</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2017</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Gebruikt ondersteunende middelen bij administratieve taken  (co 01395)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geïntegreerde beheersprogramma's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kantoorsoftware (tekstverwerking, rekenblad,...)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Ontwikkelt de eigen deskundigheid  (co 01397)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Verbreedt en verbetert proactief zijn kennis en competenties voor alle bedrijfsactiviteiten in een meer complexe omgeving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Streeft persoonlijke effectiviteit na door zelfmanagement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recente ontwikkelingen van milieuwetgeving, -technologie, -technieken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wettelijk verplichte permanente vorming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Integreert nieuwe ervaringen in de dagdagelijkse werksituatie en combineert inzichten uit verschillende kennisdomeinen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Implementeert, gebruikt en verbetert een milieuzorgsysteem  (co 01396)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Ontwikkelt een milieuzorgsysteem (MZS) aangepast aan de complexiteit van de organisatie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Implementeert en onderhoudt een milieuzorgsysteem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volgens een systeem van continue verbeteringen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milieuanalyses uit van alle milieuaspecten van de organisatie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aan de verbetering van het MZS om steeds alle bedrijfsactiviteiten / levenscycli / stakeholders / milieu-aspecten te omvatten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Ontwikkelt het milieuzorgprogramma, de fases en de acties van de BIM, ziet toe op de toepassing ervan of past het zelf toe    (M140201 Id19358-c)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Betrekt (operationele) managers, diensthoofden, gebruikers en andere belanghebbenden bij de planning, de fases en de acties van de BIM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Draagt bij tot de toepassing van de milieunormen waaraan producten en/of diensten moeten voldoen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eventueel bijkomende criteria voor waaraan producten en/of diensten moeten voldoen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vast voor welke fases van het productieproces of de dienstverlening een analyse en evaluatie moet uitgevoerd worden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Coördineert de activiteiten rond milieuzorg binnen een organisatie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de exploitatie ten opzichte van de beste beschikbare technieken (BBT)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Draagt bij tot de ontwikkeling, de invoering, de toepassing en de evaluatie van milieuvriendelijke productiemethoden en producten  (H130201 Id17640-c/17981-c, M140201 Id19197-c/23737-c/3379-c)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op eigen initiatief en/of op vraag van de bedrijfsleider voorstellen en aanbevelingen voor de verbetering van de organisatie, procedures, middelen, ... op vlak van milieu</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de milieu-impact van toegepaste en voorgenomen productiemethoden en producten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Stuurt aan en geeft advies vanaf de projectfase en de planfase van nieuwe investeringen, aankopen, exploitatie, onderhoud die impact hebben op de milieuaspecten van de onderneming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over de milieu-impact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gegevens aan voor het meten van de milieuschade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Formuleert verbetervoorstellen aan de bedrijfsleider of neemt initiatieven hiertoe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mee aan het bepalen van de uitvoeringsvoorwaarden van het project (termijn, budget, personeel, uitbesteding, investeringen,…) gerelateerd aan milieuaspecten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met de betrokkenen over nieuwe procedures en werkmethodes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mee aan het opstellen van de planning en de taakverdeling van het project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of de uitvoering van het project voldoet aan de milieunormen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invoering en/of toepassing op van de nieuwe wetgeving op vlak van milieu, natuur en ruimtelijke ordening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Waakt over de naleving van de milieuwetgeving en voert controles uit, rapporteert hierover en formuleert voorstellen om tekortkomingen te verhelpen   (H130201 Id17553-c/21843-c/24732-c/8927, M140201 Id16669-c/18146-c)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ontwikkelingen op het gebied van milieuwetgeving, natuurwetgeving, ruimtelijke ordening en milieutechnologie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alle relevante wetgeving (milieu, preventie, mobiliteit, …)  op en zet, waar nodig, deze om in praktijkrichtlijnen, instructies, en adviezen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en begeleidt externe en interne instanties bij audits, inspecties,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compliance audits uit via een observatierondgang in het kader van het toegepaste milieuzorgsysteem  rekening houdend met wetgeving of normen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de resultaten van de audits ten aanzien van de milieuwetgeving en het milieuzorgsysteem aan de bedrijfsleider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over de omgevingsveiligheid aan de bedrijfsleider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Formuleert verbetervoorstellen aan de bedrijfsleider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initiatief tot onderzoek en sanering in geval van milieuschade en volgt de sanering en de genomen maatregelen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Adviseert en stuurt managers, technici en productiemedewerkers, externe contractors en leveranciers aan om de conformiteit met de wetgeving, met het milieuzorgsysteem en met de interne milieuvoorschriften te respecteren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Formuleert, implementeert en coördineert het milieubeleid en de actieplannen, controleert de toepassing ervan, en evalueert de prestaties van het milieubeleid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Coördineert, actualiseert en evalueert de aanvragen van omgevingsvergunningen en stelt deze op (co 02504)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de milieu-relevante bedrijfsgegevens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alle milieutechnische gegevens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alle relevante toetsen (natuurtoetsen ,watertoets, passende beoordeling) of bereidt ze voor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beroep op experten en deskundigen voor de uitvoering van keuringen en analyses in het kader van het aanvraagdossier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Coördineert het overleg i.v.m. het aanvraagdossier met overheid, MER-deskundigen, VR-deskundigen, architect, buurtbewoners en externen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Dient het dossier bij de bevoegde overheid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Verdedigt het dossier, indien nodig, bij de bevoegde overheid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Bereidt een passende beoordeling voor en/of maakt ze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Informeert de bedrijfsleider omtrent de in de omgevingsvergunning opgenomen voorwaarden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toe op de naleving van de omgevingsvergunning en rapporteert hierover aan de bedrijfsleiding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toe op de aanpassing van de omgevingsvergunning bij wijziging in de exploitatie (uitbreiding, verandering,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Identificeert en analyseert hiaten in het milieuzorgprogramma, stelt een diagnose van de oorzaken en stelt corrigerende acties voor  (H130201 Id11846-c/17553-c)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Identificeert en analyseert hiaten in het milieuzorgprogramma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Coördineert metingen en testen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en interpreteert gegevens en resultaten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corrigerende acties voor bij hiaten in het milieuzorgprogramma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actuele wettelijke normen en voorschriften bij het formuleren van oplossingen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Staat in voor maatregelen in geval van ernstig en onmiddellijk gevaar voor het leefmilieu</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indien nodig een beroep op externe specialisten bij hiaten in het milieuzorgprogramma</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Waakt over of staat in voor de uitvoering van de voorgeschreven metingen, periodieke controles en de registratie en interpretatie van de resultaten ervan  (H130201 Id17553/8927-c)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meetplan voor emissie- en immissiemetingen en periodieke onderzoeken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Staat in voor de meetcampagne of laat deze uitvoeren door een intern/extern labo of deskundige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Analyseert, beoordeelt en interpreteert de meetgegevens en informatie (meetresultaten, wetgeving, normen, …) en rapporteert deze aan de bedrijfsleiding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Waakt over de methode die bij de metingen wordt aangewend en de relevantie van de resultaten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Synthetiseert en licht de resultaten toe aan de bedrijfsleiding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Optimaliseert het meetplan met het oog op continue verbetering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het emissiejaarverslag op</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Waakt over het bijhouden van het afvalstoffenregister en het materialenregister en het naleven van de meldingsplicht  (H130201 Id17553-c/25818-c/25940-c)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Waakt over het bijhouden van het afvalstoffenregister en het  materialenregister en over de verzameling van de relevante gegevens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Waakt over de naleving van de meldingsplicht in het kader van het materialenbeheer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Waakt over duurzaam beheer van materiaalkringlopen en afvalstoffen met inbegrip LCA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Waakt over de erkenning en registratie van de afvalverwerkers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en beoordeelt de toewijzing van de afvalverwerking (opslag, transport, verwerking) aan de geschikte firma</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Waakt over het naleven van de verplichte meldingen en aangiftes met betrekking tot milieu  (co 02059)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Waakt over gegevensverzameling, bundeling en tijdige indiening van de aangiftes (milieuheffing, afvalwater, integraal milieujaarverslag (IMJV),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Formuleert voorstellen en draagt bij tot de interne en externe communicatie in verband met de gevolgen voor mens en milieu van de inrichting   (H130201 Id17519-c/21867-c, M140201 Id19839-c/23691-c)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alle interne en externe belanghebbenden voor de bedrijfsinterne milieuzorg in kaart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Treedt op als aanspreekpunt voor milieuzorg met interne en externe diensten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milieu-informatie over op een voor het doelpubliek toegankelijke manier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alle relevante milieuaangelegenheden met externe en interne diensten (MER-deskundigen, overheden, preventiedienst,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Sensibiliseert intern de belanghebbenden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Behandelt en geeft toelichting bij milieu-gerelateerde aangelegenheden (vragen, klachten, bedrijfsuitbreiding, omgevingsvergunning,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interne opleidingen op maat van de complexe organisatie inzake milieu, natuur en ruimtelijke ordening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Stimuleert gedragsverandering met betrekking tot milieu bij bedrijfsleiding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verbetervoorstellen voor interne en externe communicatie met betrekking tot de milieu-gerelateerde aangelegenheden van de onderneming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Verleent medewerking en reikt objectieve informatie aan bij de uitvoering van de evaluaties van ingedeelde inrichtingen en activiteiten aan de overheid en de bedrijfsleiding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Verleent medewerking en reikt een visie aan op de maatregelen die de bedrijfsleiding voorstelt in reactie op de redenen die aanleiding hebben gegeven tot de evaluatie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Verleent advies bij investeringen die vanuit milieuoogpunt relevant kunnen zijn  (H130201 Id18136-c, M140201 Id16669-c)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advies uit over het milieu-luik van de investeringen en aankopen met oog op het budgettaire en ecologische evenwicht en licht dit toe aan de belanghebbenden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mogelijke financiële analysetechnieken (kosten-baten, terugverdientijd,…) voor aan de bedrijfsleider en ondersteunt de bedrijfsleider in de keuze ervan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Geeft advies over het milieutoetsingskader voor productie/bedrijfsproces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Ondersteunt de onderhandeling van aankopen en investeringen voor wat het milieu aspect betreft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Verleent inbreng aan het lastenboek van aankopen en investeringen voor wat het milieu aspect betreft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jaarlijks een verslag op over de activiteiten  (co 01398)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een jaarverslag met de uitgebrachte adviezen en het gevolg dat eraan gegeven werd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jaarlijks een verslag op over eigen uitgevoerde (wettelijke) activiteiten en beschrijft de wijze waarop de taken zijn vervuld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over het jaarverslag aan de belanghebbenden (ondernemingsraad, CPBW,…)</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br/>
      </w:r>
      <w:r>
        <w:t>Grondslagen van milieuwetenschappen</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ecologie en ecotoxicologie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milieuproblematiek (in de verschillende milieucompartimenten)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problematiek van de klimaatverandering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relatie tussen activiteiten en effecten op mens en leefmilieu</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kenmerkende grootheden, definities en milieu-eigen vaktaal</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Milieubeleidsvorming en instrumenten van het milieubeleid van de overheid</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gegevensanalysetechnieken en modellen als basis voor het opstellen van monitoringsstrategieën en milieubeoordelingsmethoden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organisatie en de structuur van de bevoegde overheid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verschillende milieubeleidsinstrumenten en hun mogelijke impact: Economische instrumenten (subsidies, premies, heffingen, … + de berekening ervan); Beslissingsondersteunende instrumenten (MER, VR, audit, LCA, Natuurtoetsen, Watertoets, MOBER, RUP, BBT, BREF, SRD, codes van goede praktijk,  …); Convenanten; Milieubeleidsplanning op de verschillende niveaus (Europees, regionaal)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milieurisico-evaluatie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Milieuregelgeving en gerelateerde regelgeving</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gerelateerde regelgeving (RO, milieubeheer en biodiversiteit, arbeidsveiligheid, kwaliteitszorg, transportreglementering,…)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aansprakelijkheid van de milieucoördinator (interne en externe milieucoördinator)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technologische eisen, emissienormen, milieukwaliteitsnormen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structuur en  de opbouw van de milieuwetgeving (Europees, federaal, Vlaams)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Milieuvergunningsprocedure/Omgevingsvergunningprocedure</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Milieumanagement</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interacties en samenhang van bedrijfsinterne milieuzorg met arbeidsveiligheid en integrale kwaliteitszorg waaronder ISO19011</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milieubeheersystemen en maatschappelijk verantwoord ondernemen (EMAS, ISO 14000-normenreeks,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methodologie voor de compliance audit</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Technologische facetten</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beheersingstechnieken inzake geluid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afvalverwerkingstechnieken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ecodesign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bodemsaneringstechnieken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technologieën inzake energie-efficiëntie en energiebeheer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LCA en integraal ketenbeheer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maatregelen ter preventie van bodem-, (grond)water- en luchtverontreiniging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maatregelen over de interne en externe veiligheid m.b.t. de opslag en exploitatie van producten met het gevarenpictogram GHS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beheersingstechnieken (afvalwater- en afvalluchtbehandeling)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afvalbeheersingstechnieken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Bedrijfseconomische- en beheersfacetten  vanuit milieuperspectief</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milieudimensie van het verzekeringsbeheer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omtrent de meting van milieuschade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milieu-investeringsanalyses (kosten-batenanalyse, kosten-efficiëntie, criteriumanalyse, prioriteitstelling)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stimulansen en optimalisatietechnieken voor het behalen van milieudoelstellingen rekening houdend met het bedrijfseconomische context (BATNEEC)</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projectmanagement</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Sociale en communicatieve facetten</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conflictbeheersingstechnieken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sensibiliseringstechnieken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opleidingstechnieken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interne en externe communicatietechnieken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rapporterings- en overlegtechnieken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Methodologische facetten</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methodes en technieken voor omgevingsveiligheidsbeoordeling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methodes en technieken voor milieueffectbeoordeling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methodes en strategieën voor milieu-auditing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methode van risico-analysetechnieken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gegevensbestanden en informatiebronnen over milieubeheer</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geïntegreerde beheersprogramma's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kantoorsoftware (tekstverwerking, rekenblad,...)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verbreden en proactief verbeteren van zijn kennis en competenties voor alle bedrijfsactiviteiten in een meer complexe omgeving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streven naar persoonlijke effectiviteit door zelfmanagement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de recente ontwikkelingen van milieuwetgeving, -technologie, -technieken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volgen van wettelijk verplichte permanente vorming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integreren van nieuwe ervaringen in de dagdagelijkse werksituatie en het kunnen combineren van inzichten uit verschillende kennisdomeinen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ontwikkelen van een milieuzorgsysteem (MZS) aangepast aan de complexiteit van de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implementeren en onderhouden van een milieuzorgsysteem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werken volgens een systeem van continue verbeteringen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milieuanalyses van alle milieuaspecten van de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werken aan de verbetering van het MZS om steeds alle bedrijfsactiviteiten / levenscycli / stakeholders / milieu-aspecten te omvatten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betrekken van de (operationele) managers, diensthoofden, gebruikers en andere belanghebbenden bij de planning, de fases en de acties van de BIM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bijdragen tot de toepassing van de milieunormen waaraan producten en/of diensten moeten voldoen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voorstellen van bijkomende criteria waaraan producten en/of diensten moeten voldoen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vastleggen voor welke fases van het productieproces of de dienstverlening een analyse en evaluatie moet uitgevoerd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coördineren van de activiteiten rond milieuzorg binnen een organisatie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evalueren van de exploitatie ten opzichte van de beste beschikbare technieken (BBT)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doen van voorstellen en aanbevelingen, op eigen initiatief en/of op vraag van de bedrijfsleider, voor de verbetering van de organisatie, procedures, middelen, ... op vlak van milieu</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analyseren van de milieu-impact van toegepaste en voorgenomen productiemethoden en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aansturen en advies geven vanaf de projectfase en de planfase van nieuwe investeringen, aankopen, exploitatie, onderhoud die impact hebben op de milieuaspecten van de onderneming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rapporteren over de milieu-impact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aanbrengen van de gegevens voor het meten van de milieuschade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formuleren van verbetervoorstellen ihkv milieuvriendelijke productiemethoden en producten aan de bedrijfsleider of het kunnen nemen van initiatieven hiertoe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meewerken aan het bepalen van de uitvoeringsvoorwaarden van het project (termijn, budget, personeel, uitbesteding, investeringen,…) gerelateerd aan milieuaspecten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met de betrokkenen over nieuwe procedures en werkmethodes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meewerken aan het opstellen van de planning en de taakverdeling van het project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of de uitvoering van het project voldoet aan de milieunormen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de invoering en/of toepassing van de nieuwe wetgeving op vlak van milieu, natuur en ruimtelijke ordening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volgen van de ontwikkelingen op het gebied van milieuwetgeving, natuurwetgeving, ruimtelijke ordening en milieutechnologie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opvolgen van  alle relevante wetgeving (milieu, preventie, mobiliteit,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omzetten, waar nodig, van alle relevante wetgeving (milieu, preventie, mobiliteit, …) in praktijkrichtlijnen, instructies, en adviezen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organiseren en begeleiden van externe en interne instanties bij audits, inspecties,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compliance audits via een observatierondgang in het kader van het toegepaste milieuzorgsysteem rekening houdend met wetgeving of normen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rapporteren van de resultaten van de audits ten aanzien van de milieuwetgeving en het milieuzorgsysteem aan de bedrijfsleider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rapporteren over de omgevingsveiligheid aan de bedrijfsleider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formuleren van verbetervoorstellen om  tekortkomingen aan de naleving van de milieuwetgeving te verhelpen aan de bedrijfsleider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adviseren en sturen van managers, technici en productiemedewerkers, externe contractors en leveranciers om de conformiteit met de wetgeving, met het milieuzorgsysteem en met de interne milieuvoorschriften te respecteren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formuleren, implementeren en coördineren van het milieubeleid en de actieplannen, het kunnen controleren van de toepassing ervan, en het kunnen evalueren van de prestaties van het milieubeleid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van de milieu-relevante bedrijfsgegevens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van alle milieutechnische 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van alle relevante toetsen (natuurtoetsen, watertoets, passende beoordeling) of ze kunnen voorbereiden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beroep doen op experten en deskundigen voor de uitvoering van keuringen en analyses in het kader van het aanvraagdossier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coördineren van het overleg i.v.m. het aanvraagdossier met overheid, MER-deskundigen, VR-deskundigen, architect, buurtbewoners en externen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indienen van het dossier bij de bevoegde overheid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verdedigen van het dossier bij de bevoegde overheid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voorbereiden en/of opmaken van een passende beoordeling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informeren van de bedrijfsleider omtrent de in de omgevingsvergunning opgenomen voorwaarden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toezien op de naleving van de omgevingsvergunning en hierover kunnen rapporteren aan de bedrijfsleiding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toezien op de aanpassing van de omgevingsvergunning bij wijziging in de exploitatie (uitbreiding, verandering,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identificeren en analyseren van hiaten in het milieuzorgprogramma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coördineren van metingen en testen ihkv hiaten in het milieuzorgprogramma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analyseren en interpreteren van gegevens en resultaten ihkv hiaten in het milieuzorgprogramma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meetplan voor emissie- en immissiemetingen en periodieke onderzoeken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instaan voor de meetcampagne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laten uitvoeren van de meetcampagne door een intern/extern labo of deskundige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analyseren, beoordelen en interpreteren van de meetgegevens en informatie (meetresultaten, wetgeving, normen,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rapporteren van de meetgegevens en informatie (meetresultaten, wetgeving, normen, …) aan de bedrijfsleiding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waken over de methode die bij de metingen wordt aangewend en de relevantie van de resultaten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synthetiseren en toelichten van de resultaten aan de bedrijfsleiding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optimaliseren van het meetplan met het oog op continue verbetering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van het emissiejaarverslag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waken over het bijhouden van het afvalstoffenregister en materialenregister en over de verzameling van de relevante gegevens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waken over de naleving van de meldingsplicht in het kader van het materialenbeheer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waken over duurzaam beheer van materiaalkringlopen en afvalstoffen met inbegrip LCA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waken over de erkenning en registratie van de afvalverwerkers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organiseren en beoordelen van de toewijzing van de afvalverwerking (opslag, transport, verwerking) aan de geschikte firma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waken over gegevensverzameling, bundeling en tijdige indiening van de aangiftes (milieuheffing, afvalwater, integraal milieujaarverslag (IMJV),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 kaart brengen van alle interne en externe belanghebbenden voor de bedrijfsinterne milieuzorg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optreden als aanspreekpunt voor milieuzorg met interne en externe diensten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overbrengen van milieu-informatie op een voor het doelpubliek toegankelijke manier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omtrent alle relevante milieuaangelegenheden met externe en interne diensten (MER-deskundigen, overheden, preventiedienst,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intern kunnen sensibiliseren van de belanghebbenden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behandelen en toelichting geven bij milieu-gerelateerde aangelegenheden (vragen, klachten, bedrijfsuitbreiding, omgevingsvergunning,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organiseren van interne opleidingen op maat van de complexe organisatie inzake milieu, natuur en ruimtelijke ordening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stimuleren van gedragsverandering met betrekking tot milieu bij bedrijfsleiding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doen van verbetervoorstellen voor interne en externe communicatie met betrekking tot de milieu-gerelateerde aangelegenheden van de onderneming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verlenen van medewerking en het kunnen aanreiken van objectieve informatie bij de uitvoering van de evaluaties van ingedeelde inrichtingen en activiteiten aan de overheid en de bedrijfsleiding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verlenen van medewerking en het kunnen aanreiken van een visie op de maatregelen die de bedrijfsleiding voorstelt in reactie op de redenen die aanleiding hebben gegeven tot de evaluatie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uitbrengen van advies over het milieu-luik van de investeringen en aankopen met oog op het budgettaire en ecologische evenwicht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toelichten van advies over het milieu-luik van de investeringen en aankopen aan de belanghebbenden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voorstellen van mogelijke financiële analysetechnieken (kosten-baten, terugverdientijd,…) aan de bedrijfsleider en het kunnen ondersteunen van de bedrijfsleider in de keuze ervan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advies over het milieutoetsingskader voor productie/bedrijfsproces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ondersteunen van de onderhandeling van aankopen en investeringen voor wat het milieu aspect betreft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verlenen van inbreng aan het lastenboek van aankopen en investeringen voor wat het milieu aspect betreft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een jaarverslag met de uitgebrachte adviezen en het gevolg dat eraan gegeven werd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jaarlijks opstellen van een verslag over eigen uitgevoerde (wettelijke) activiteiten en het beschrijven van de wijze waarop de taken zijn vervuld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over het jaarverslag aan de belanghebbenden (ondernemingsraad, CPBW,…)</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nemen van initiatief tot onderzoek en sanering in geval van milieuschade en het kunnen opvolgen van de sanering en de genomen maatregelen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voorstellen van corrigerende acties bij hiaten in het milieuzorgprogramma</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volgen van actuele wettelijke normen en voorschriften bij het formuleren van oplossingen bij hiaten in het miileuzorgprogramma</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instaan voor maatregelen in geval van ernstig en onmiddellijk gevaar voor het leefmilieu</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beroep doen op externe specialisten bij hiaten in het milieuzorgprogramma</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Inrichtingen of activiteiten die belangrijke gevolgen voor het milieu kunnen hebben, zijn verplicht of kunnen verplicht worden een milieucoördinator aan te stellen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milieucoördinator wordt uitgeoefend in industriële bedrijven, dienstverlenende bedrijven, ..., in samenwerking met verschillende diensten en betrokkenen (productie, kwaliteit, onderhoud, CPBW, auditeurs, preventieadviseur, leveranciers, overheid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milieucoördinator kan een werknemer zijn van de bedrijfsleider (interne milieucoördinator) of een persoon die geen werknemer is van de bedrijfsleider (externe milieucoördinator)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Een milieucoördinator kan worden aangesteld voor meerdere bedrijven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categorieën van inrichtingen of activiteiten kunnen een grote verscheidenheid vertonen, gaande van relatief eenvoudig naar zeer complex. De complexiteit van de werkomgeving wordt bepaald door de activiteiten van het bedrijf. De werkzaamheden van de milieucoördinator variëren naargelang de sector (energie, chemie, petrochemie, voeding, ...), het type vestiging (MER-plicht, SEVESO-status, van toepassing zijnde rubrieken van de als hinderlijk ingedeelde inrichting, ...), het type proces en of het gaat om gefabriceerde of opgeslagen producten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wetgever maakt een onderscheid tussen A-inrichtingen en B-inrichtingen, de A-inrichtingen worden geacht complexer te zijn dan de B-inrichtingen. Hierdoor zijn er twee types milieucoördinatoren, een milieucoördinator type A en een milieucoördinator type B. Een milieucoördinator type A mag de functie uitoefenen bij zowel A-inrichtingen als bij B-inrichtingen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milieucoördinator kan verplaatsingen inhouden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Een milieucoördinator moet fysiek in staat zijn om in de rondgang  alle plaatsen, ook moeilijk bereikbare, te controleren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van milieucoördinator vereist een grote mate van zelfstandigheid in combinatie met het werken binnen het wettelijk kader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milieucoördinator komt in contact met diverse belanghebbenden (overheidsdiensten, buurtbewoners,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coördinerende rol kan de  milieucoördinator in contact brengen met een stresserende omgeving (tegenstrijdige belangen, incidenten, voorvallen, buurtklachten,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omgeving kan vereisen dat de milieucoördinator de veiligheidsvoorwaarden van het bedrijf toepast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blootstelling aan risicohoudende stoffen en hinder (geur, geluid, …) inhouden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(helm, veiligheidsschoenen, ...) kan vereist 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inhouden dat de milieucoördinator ingeschakeld wordt in een permanentiesysteem (7/7, 24/24) in het kader van milieu incidenten.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Alle nodige middelen (lokalen, personeel, apparatuur, ...) moeten aan de milieucoördinator ter beschikking gesteld worden door de bedrijfsleiding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kan uitgeoefend worden in combinatie met andere verantwoordelijkheden (preventie, veiligheid, …) die mogelijks overlappen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aanstelling of de verwijdering van de interne milieucoördinator vereist een akkoord van CPBW of de vakbondsafvaardiging</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milieucoördinator zal bij de uitoefening van zijn taak oog hebben voor alle relevante aspecten van leefmilieu, of die nu wettelijk geregeld zijn of niet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Milieuzorg veronderstelt een nauwe samenwerking tussen de bedrijfsleiding, de overheid en de milieucoördinator om zowel het bedrijfs- als het maatschappelijk belang maximaal na te streven. Om deze soms tegenstrijdige belangen te kunnen coördineren, heeft de milieucoördinator een grote autonomie en onafhankelijkheid. Hierbij is een vertrouwensrelatie tussen de milieucoördinator, de bedrijfsleiding en de overheid belangrijk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Een aantal taken van de milieucoördinator vereisen een verhoogde oplettendheid en observatievermogen (bedrijfsrondgang, auditing,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milieucoördinator type A moet bewust zijn van de mogelijke impact van de aanwezigheid van gevaarlijke stoffen of risicohoudende materialen op het milieu</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milieucoördinator type A moet aandacht hebben voor het correct uitvoeren van al zijn decretaal voorziene verplichtingen gezien hij ten persoonlijke titel kan worden gesanctioneerd en burgerlijk/strafrechtelijk aansprakelijk kan gesteld worden voor milieuschade en schade aan derden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milieucoördinator moet kwaliteitsvolle diensten leveren. Hij moet zorgvuldig en nauwkeurig kunnen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milieucoördinator bepaalt autonoom de planning van zijn taken rekening houdend met deadlines en middelen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milieucoördinator moet constructief, stressbestendig en flexibel omgaan met wisselende contexten, eisen, omstandigheden, vereisten, gebeurtenissen,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milieucoördinator neemt binnen zijn takenpakket initiatief om het duurzaam ondernemen te helpen realiseren. De milieucoördinator houdt rekening met de opportuniteiten en risico’s van de eigen organisatie en werkomgeving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beroepsuitoefenaar moet kritisch, analytisch en oplossingsgericht 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beroepsuitoefenaar moet assertief en proactief kunnen optreden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beroep van milieucoördinator vergt een permanente vorming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decretaal bepaalde continue taken zoals het waken over het naleven van de milieuwetgeving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decretaal bepaalde occasionele taken zoals advies geven over investeringen, het opmaken van het jaarverslag van de milieucoördinator, het verlenen van medewerking en verstrekken van informatie aan de overheid ihkv evaluatie van de ingedeelde inrichtingen en activiteiten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verstrekken van informatie en advies aan de bedrijfsleiding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 kaart brengen van alle milieuaspecten in een bedrijf</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Europese, federale, Vlaamse en lokale milieuwetgeving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aan de organisatie en het huisreglement en bedrijfscultuur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contractuele overeenkomst</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erkende en/of interne en externe experten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overheden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gebruiken van ondersteunende middelen bij administratieve taken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ontwikkelen van de eigen deskundigheid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implementeren, gebruiken en verbeteren van een milieuzorgsysteem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ontwikkelen van het milieuzorgprogramma, de fases en de acties van de BIM,  het toezien op de toepassing ervan of het zelf toepassen ervan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bijdragen tot de ontwikkeling, de invoering, de toepassing en de evaluatie van milieuvriendelijke productiemethoden en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waken over de naleving van de milieuwetgeving en het uitvoeren van controles, het hierover rapporteren en het formuleren van voorstellen om tekortkomingen te verhelpen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coördineren, actualiseren en evalueren van omgevingsvergunningen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opstellen van omgevingsvergunningen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identificeren en analyseren van hiaten in het milieuzorgprogramma, het stellen van een diagnose van de oorzaken en het voorstellen van corrigerende acties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waken of instaan voor de uitvoering van de voorgeschreven metingen, periodieke controles en de registratie en interpretatie van de resultaten ervan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waken over het bijhouden van het afvalstoffenregister en materialenregister en het naleven van de meldingsplicht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waken over het naleven van de verplichte meldingen en aangiftes met betrekking tot milieu</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formuleren van voorstellen en het bijdragen tot de interne en externe communicatie in verband met de gevolgen voor mens en milieu van de inrichting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verlenen van advies bij investeringen die vanuit milieuoogpunt relevant kunnen 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jaarlijks opstellen van een verslag over de activiteiten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verlenen van medewerking en het aanreiken van objectieve informatie bij de uitvoering van de evaluaties van ingedeelde inrichtingen en activiteiten aan de overheid en de bedrijfsleiding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verlenen van medewerking en het aanreiken van een visie op de maatregelen die de bedrijfsleiding voorstelt in reactie op de redenen die aanleiding hebben gegeven tot de evaluatie</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 In het gecoördineerd besluit van de Vlaamse Regering van 19 november 2010 tot vaststelling van het Vlaams reglement inzake erkenningen met betrekking tot het leefmilieu werd bepaald in hoofdstuk 4, afdeling 3, onderafdeling 3, artikel 18, §1, 2° De hierna vermelde bijzondere erkenningsvoorwaarden gelden voor de milieucoördinator, vermeld in artikel 6,3°, a), voor het uitoefenen van de functie bij inrichtingen, aangeduid met de kenletter A in de vijfde kolom van de lijst van de als hinderlijk beschouwde inrichtingen, vastgesteld in bijlage 1 van titel I van het VLAREM: de graad van master of een daarmee gelijkgeschakelde graad bezitten.</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	Een milieucoördinator moet beschikken over een getuigschrift van aanvullende vorming voor milieucoördinatoren dat wordt uitgereikt door een erkend opleidingscentrum als vermeld in de regelgeving inzake erkenningen met betrekking tot het leefmilieu </w:t>
      </w:r>
      <w:r>
        <w:br/>
      </w:r>
      <w:r>
        <w:t>-	Een milieucoördinator type A moet beschikken over het getuigschrift van de aanvullende vorming voor milieucoördinatoren van het eerste niveau of het overgangsniveau. </w:t>
      </w:r>
      <w:r>
        <w:br/>
      </w:r>
      <w:r>
        <w:t>o	Uitzondering: </w:t>
      </w:r>
      <w:r>
        <w:br/>
      </w:r>
      <w:r>
        <w:t>-	een persoon die de taken van milieucoördinator in de hoedanigheid van werknemer van de bedrijfsleider al uitoefende vóór 4 juli 1996 (hij mag worden aangesteld en blijven aangesteld voor de inrichting en/of milieutechnische eenheid waarin hij is tewerkgesteld alsook voor soortgelijke inrichtingen en/of milieutechnische eenheden)</w:t>
      </w:r>
      <w:r>
        <w:br/>
      </w:r>
      <w:r>
        <w:t>-      een persoon die werknemer is van de bedrijfsleider (hij kan éénmalig en voor een periode van maximum drie jaar als milieucoördinator worden aangesteld op de voorwaarde dat hij is ingeschreven voor het volgen van de cursus aanvullende vorming voor milieucoördinatoren)</w:t>
      </w:r>
      <w:r>
        <w:br/>
      </w:r>
      <w:r>
        <w:t>o	Een externe milieucoördinator, die voor 2 of meer bedrijven werkzaam is, moet zich laten erkennen door de Vlaamse overheid, Afdeling Omgevingsvergunningen. Om erkend te kunnen worden moet hij steeds beschikken over een getuigschrift van aanvullende vorming voor milieucoördinatoren A (of het overgangsniveau).</w:t>
      </w:r>
      <w:r>
        <w:br/>
      </w:r>
      <w:r>
        <w:t/>
      </w:r>
      <w:r>
        <w:br/>
      </w:r>
      <w:r>
        <w:t>-	De externe en interne milieucoördinator moet voor de uitoefening van zijn taken steeds over een verzekering burgerrechtelijke aansprakelijkheid beschikken. De bedrijfsleider neemt voor de interne milieucoördinator de kosten van de verzekering burgerrechtelijke aansprakelijkheid voor zijn rekening. Een externe milieucoördinator (geen werknemer van de bedrijfsleider) moet bijkomend over een verzekering beroepsaansprakelijkheid beschikken </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lastRenderedPageBreak/>
        <w:t>Geen vereisten.</w:t>
      </w:r>
    </w:p>
    <w:p w:rsidR="00423F38" w:rsidRPr="008539AC" w:rsidRDefault="008539AC" w:rsidP="008539AC">
      <w:pPr>
        <w:spacing w:after="0" w:line="240" w:lineRule="auto"/>
      </w:pPr>
      <w:r w:rsidRPr="00032DDA">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FC" w:rsidRDefault="004236FC" w:rsidP="00DE7DA8">
      <w:pPr>
        <w:spacing w:after="0" w:line="240" w:lineRule="auto"/>
      </w:pPr>
      <w:r>
        <w:separator/>
      </w:r>
    </w:p>
  </w:endnote>
  <w:endnote w:type="continuationSeparator" w:id="0">
    <w:p w:rsidR="004236FC" w:rsidRDefault="004236FC"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8539AC" w:rsidRPr="008539AC">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FC" w:rsidRDefault="004236FC" w:rsidP="00DE7DA8">
      <w:pPr>
        <w:spacing w:after="0" w:line="240" w:lineRule="auto"/>
      </w:pPr>
      <w:r>
        <w:separator/>
      </w:r>
    </w:p>
  </w:footnote>
  <w:footnote w:type="continuationSeparator" w:id="0">
    <w:p w:rsidR="004236FC" w:rsidRDefault="004236FC"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D6C50"/>
    <w:rsid w:val="00A15DC3"/>
    <w:rsid w:val="00A32D92"/>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7026"/>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1010</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94</cp:revision>
  <dcterms:created xsi:type="dcterms:W3CDTF">2013-08-16T11:25:00Z</dcterms:created>
  <dcterms:modified xsi:type="dcterms:W3CDTF">2017-10-26T12:44:00Z</dcterms:modified>
</cp:coreProperties>
</file>