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0159</w:t>
      </w:r>
      <w:r>
        <w:t>)</w:t>
      </w:r>
    </w:p>
    <w:p w:rsidR="003B07E1" w:rsidRDefault="003B07E1" w:rsidP="003B07E1">
      <w:pPr>
        <w:pStyle w:val="DossierTitel"/>
      </w:pPr>
      <w:r>
        <w:t>Koffiebrander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Koffiebrander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benaming wordt niet gebruikt in de Competent-fiche H150501 Expert aroma’s en geuren (m/v). </w:t>
      </w:r>
      <w:r>
        <w:br/>
      </w:r>
      <w:r>
        <w:t>De term ‘Koffiebrander’ is de algemeen gebruikte term in de sector.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‘Brandt/roostert de koffiebonen teneinde een gewenst kleur- en smaakprofiel van de koffiebonen te bereiken.’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lastRenderedPageBreak/>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de ruwe koffiebonen aan (co 01176)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de ruwe bonen manueel of via een transportsysteem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een visuele controle op de ruwe koffiebonen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voedselveiligheid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non-conformiteiten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traceerbaarheid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registratietechnieken toe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Stelt de mengeling samen op basis van een receptuur  (H150501 Id23524-c/3346-c)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interpreteert de receptuur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de vultrechter van de nodige hoeveelheid te branden bonen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de nodige hoeveelheden afwegen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Bedient de weegschaal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Ziet toe op een constante kwaliteit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Brandt de bonen volgens brandprofiel  (H150501 Id17912-c)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en interpreteert de opdracht en het te realiseren brandprofiel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Bedient de brander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Vult de brander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Brandt de bonen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permanent het brandproces door visuele  en auditieve controle op de staalname (o.a. het kraken van de bonen)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Beheerst permanent de brandtemperaturen en regelt bij waar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Bewaakt de brandduur in functie van het gevraagde brandprofiel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Voegt eventueel water toe in functie van bedrijfsspecifieke procedures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Stopt tijdig het brandproces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de gebrande bonen tijdig uit de brandkamer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dat de brandkamer volledig leeg is, vooraleer een volgende lading toekomt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Herstart ondertussen het brandproces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Bewaakt de brandveiligheid</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Koelt de bonen  (H210201 Id333-c)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de koeling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Laat de bonen afkoelen in de koelkamer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een staal en maalt het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een kleurmeting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een vochtmeting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de koffie tijdig uit de koelkamer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Vangt op in recipiënt of voert automatisch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af naar de volgende stap in het productieproces (verpakken, bewaren, distribueren)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(H210201 Id18000-c)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effectief 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verantwoordelijken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de leidinggevende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aanwijzingen van verantwoordelijken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gegevens volgens procedure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Respecteert voedselveiligheid en de persoonlijke hygiëne  (co 01179)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Wast en ontsmet de handen volgens de hygiënische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werk- en beschermkledij volgens de hygiënische richtlijnen uit de autocontrolegids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voedselveiligheidsrichtlijnen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Maakt de werkomgeving, het gereedschap en de ruimtes schoon en houdt ze hygiënisch  (H210201 Id-c)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ordelijk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staat van het materieel waar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Ruimt de werkplek en het materieel systematisch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schoonmaakmaterieel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een hoeveelheid product volgens  het oppervlak en de vervuiling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het materieel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richtlijnen voor voedselveiligheid en hygiëne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en behandelt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milieuvoorschriften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ergonomische hef- en tiltechnieken toe</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(automatische) transportsystemen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functionele rekenvaardigheden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processtappen van het productieproces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mogelijke anomalieën van de ruwe bonen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voedselveiligheid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recepturen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aspecten van de autocontrolegids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bediening van een (digitale) weegschaal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bediening van relevante meettoestellen (kleur, vocht, ….) en interpretatie van de resultaten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brandprocedures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en ontsmettingsprocedures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gewichten en hoeveelheden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traceerbaarheid in functie van het eigen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producten (bonen en koffie)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brandveiligheidsprocedures in functie van personeel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brandapparatuur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brandproces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en realiseren van het brandprofiel</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de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de opdracht m.b.t. het te realiseren brandprofiel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van de nodige hoeveelheid grondstoffen volgens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visuele controle op ruwe koffiebonen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voedselveiligheid en traceerbaarheid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non-conformiteiten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registratietechnieken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permanent kunnen controleren van de temperatuur en opvolgen van de evolutie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permanent kunnen controleren d.m.v. staalname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gebrande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permanent controleren van het brandproces door visuele en auditieve controle op de staalname (o.a. het kraken van de bonen)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permanent kunnen beheersen  en bijregelen van de brandtemperatuur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brandduur in functie van het gevraagde brandprofiel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realiseren van het brandprofiel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brandveiligheid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kleurmetingen en vochtmetingen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leidinggevende en opvolgen van aanwijzingen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collega’s op efficiënte wijze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bij herkenning van non-conformiteiten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(en eventueel stoppen) van het brandproces bij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bij veiligheidsproblemen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vervoeren van ruwe bonen via transportsysteem of manueel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nodige hoeveelheid te branden bonen in de vultrechter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weegschaal en afwegen van de nodige hoeveelheid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klaarmaken van samenstellingen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brander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instellen van de afslagtemperaturen in de brander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vullen van de brander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branden van de bonen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tijdig kunnen stoppen van het brandproces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toevoegen van water in functie van bedrijfsspecifieke procedures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de gebrande bonen uit de brandkamer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koelen van de bonen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aanzetten van de koeling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herstarten van het brandproces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tijdig kunnen verwijderen van de koffie uit de koelkamer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nemen van stalen en deze malen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opvangen van de koffie in recipiënt of automatisch afvoeren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doorsturen van het product naar de volgende stap in het productieproces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wassen en ontsmetten van de handen volgens de hygiënische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systematisch kunnen opruimen van de werkplek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materiaal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schoonmaak materieel en hoeveelheid product in functie van het oppervlak en de vervuiling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koffieverwerkend bedrijf (industrieel of ambachtelijk).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vindt meestal plaats in een warme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vindt plaats in een omgeving waar een specifieke koffiegeur aanwezig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koffiebrander werkt samen met de koffieproever-expert.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koffiebrander werkt met een verscheidenheid aan origines van bonen, afkomstig uit verschillende landen, plantages, klimaatzones, oogstseizoenen, …. In deze veelzijdigheid moet hij het gewenst brandprofiel realiseren om de smaakconstante te handhaven, volgens instructies van de koffieproever-expert.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staat in functie van het naleven van bedrijfsprocedures, recepturen, werkvoorschriften, autocontrole, kwaliteitscontrole, regelgeving i.v.m. veiligheid, voedselveiligheid en -hygiëne.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tijdsschema’s is noodzakelijk voor de vooruitgang van het productieproces en de kwaliteit van de producten.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moet permanent de voedselveiligheid- en hygiënevoorschriften naleven.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zorgt permanent voor persoonlijke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controleert permanent het brandproces en beheerst de brandtemperatuur.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moet de principes van de autocontrole toepassen.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houdt langdurig rechtstaan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kan het hanteren van lasten inhouden : het is aangegeven ergonomische hef- en tiltechnieken toe te passen.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gaat economisch om met de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heeft constant aandacht voor de eigen veiligheid tijdens het brandproces.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koffiebrander moet zich bewust van de impact van zijn handelingen op economisch gebied en voedselveiligheid.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opdracht: aanvoeren van grondstoffen, samenstellen van de mengeling, branden volgens brandprofiel, koelen, leegmaken van brandkamer en koelkamer en controleren van stalen op kleur en vochtgehalte.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procedures, de autocontrolegids, de planning, de traceerbaarheidsreglementering , de voedselveiligheid- en hygiënereglementering.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opdracht (werkt onder toezicht van de leidinggevende), op de koffieproever-expert voor advies om het brandprofiel te realiseren.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kwaliteitsvol verloop van het brandproces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Gerespecteerde traceerbaarheid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visuele controle op de ruwe bonen en detectie van non-conformiteiten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Gerespecteerde voedselveiligheid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samengesteld mengsel volgens receptuur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realisatie van het brandprofiel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volgens de regels gebrand koffieproduct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Hygiënische werkomgeving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Visuele en auditieve controle op stalen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uitgevoerde kleur- en vochtmeting op stalen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Opvolging van staalnameresultaten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en veilige hantering van apparatuur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Eigen veiligheid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Medisch attest voor werken in de voedingsindustrie. </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