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0064</w:t>
      </w:r>
      <w:r>
        <w:t>)</w:t>
      </w:r>
    </w:p>
    <w:p w:rsidR="003B07E1" w:rsidRDefault="003B07E1" w:rsidP="003B07E1">
      <w:pPr>
        <w:pStyle w:val="DossierTitel"/>
      </w:pPr>
      <w:r>
        <w:t>Trainer A</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Trainer A</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wijkt af van de gebruikte benamingen in de Competentfiche “G120401 Begeleider sportactiviteiten”.</w:t>
      </w:r>
      <w:r>
        <w:br/>
      </w:r>
      <w:r>
        <w:t/>
      </w:r>
      <w:r>
        <w:br/>
      </w:r>
      <w:r>
        <w:t>Naar de benaming ‘Trainer A’ wordt in volgende decreten en uitvoeringsbesluiten verwezen:</w:t>
      </w:r>
      <w:r>
        <w:br/>
      </w:r>
      <w:r>
        <w:t>•	Decreet van 13 juli 2001 houdende de regeling van de erkenning en subsidiëring van de Vlaamse sportfederaties, de koepelorganisatie en de organisaties voor de sportieve vrijetijdsbesteding (Art. 14. § 1. 3°; Art. 29. § 1. 2°; Art. 61.)</w:t>
      </w:r>
      <w:r>
        <w:br/>
      </w:r>
      <w:r>
        <w:t>o	Algemeen uitvoeringsbesluit inzake erkenning en subsidiëring (Art. 14. 1°; Art. 17. § 1. en § 2.; Art. 21. § 1. 1° en 3°; Art. 29. § 4. en 5.)</w:t>
      </w:r>
      <w:r>
        <w:br/>
      </w:r>
      <w:r>
        <w:t>o	Uitvoeringsbesluit subsidiëring facultatieve opdracht jeugdsport</w:t>
      </w:r>
      <w:r>
        <w:br/>
      </w:r>
      <w:r>
        <w:t>o	Uitvoeringsbesluit subsidiëring facultatieve opdracht sportkampen (Art. 5. 6°, a) 1)</w:t>
      </w:r>
      <w:r>
        <w:br/>
      </w:r>
      <w:r>
        <w:t>o	Uitvoeringsbesluit subsidiëring facultatieve opdracht prioriteitenbeleid (Art. 1. 8°)</w:t>
      </w:r>
      <w:r>
        <w:br/>
      </w:r>
      <w:r>
        <w:t>o	Uitvoeringsbesluit subsidiëring facultatieve opdracht topsport (Art. 8.; Art. 10. 3° b)</w:t>
      </w:r>
      <w:r>
        <w:br/>
      </w:r>
      <w:r>
        <w:t>•	Decreet van 9 maart 2007 houdende de subsidiëring van gemeente- en provinciebesturen en de Vlaamse Gemeenschapscommissie voor het voeren van een Sport voor Allen–beleid</w:t>
      </w:r>
      <w:r>
        <w:br/>
      </w:r>
      <w:r>
        <w:t>o	Uitvoeringsbesluit inzake algemene bepalingen en bepalingen tot het verkrijgen van de beleidssubsidie (Art. 47. § 1. 1° en 4°; Art. 47. § 2)</w:t>
      </w:r>
      <w:r>
        <w:br/>
      </w:r>
      <w:r>
        <w:t>o	Uitvoeringbesluit inzake bepalingen tot het verkrijgen van de impulssubsidie (Art. 5. § 3. 1° a); Art. 5. § 3. 2° a); Art. 15.)</w:t>
      </w:r>
      <w:r>
        <w:br/>
      </w:r>
      <w:r>
        <w:t>•	Decreet van 6 juli 2012 houdende het stimuleren en subsidiëren van een  lokaal sportbeleid</w:t>
      </w:r>
      <w:r>
        <w:br/>
      </w:r>
      <w:r>
        <w:t>o	Besluit van de Vlaamse Regering van 16 november 2012 betreffende de uitvoering van het decreet van 6 juli 2012 houdende het stimuleren en subsidiëren van lokaal sportbeleid</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Staat in voor het trainen en coachen van competitieve sporters (jongeren, adolescenten en volwassenen) tot op het internationaal niveau, rekening houdend met de ontwikkelingskenmerken van de doelgroep en de ontwikkelingslijn van de sport, teneinde de sporters via aangepaste sporttechnische, -tactische en conditionele trainingsopbouw en mentale begeleiding te laten doorstromen naar het hoogste niveau en topprestaties te behalen.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6</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2013</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Informeert de betrokken actoren over de sportdiscipline, de organisatie van de sessies en de prestaties van de sporter(s) en het team  (G120401 Id14047-c)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Motiveert tot volhouden van sport- en bewegingsactiviteiten tot op internationaal niveau (mentale begeleiding)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Begeleidt sporters tot op internationaal niveau op het vlak van fitheid en gezondheid (antidoping, whereabouts, gewichtscontrole, supplementen, enz.)</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informatie over de praktische organisatie van sportsessies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Onderhoudt contact met de ouders van jeugdige sporters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Onderhoudt contact met (sport)medische begeleiders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Onderhoudt contact met alle overige betrokken actoren (trainers, wedstrijdbegeleidingsteam, assistenten, conditietrainer, talentscouts, scoutingsteam, externe experts, wetenschappelijke onderzoekscentra, federatie, topsportscholen, bestuur, sponsors, agenten, managers, makelaars en media)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Kan sportgerelateerde en praktische informatie geven aan anderstalige betrokken actoren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Volgt het sportproject tot op internationaal niveau op, evalueert het en stelt verbeteringen voor  (G120401 Id16887-c)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Meet effecten en resultaten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over effecten en resultaten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Zoekt verbeterpunten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actief op zoek naar nieuwe concepten en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sportspecifieke en sporttakoverschrijdende internationale evoluties op (technisch, tactisch, conditioneel, ontwikkelingslijnen, materiaal, enz.)</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Bepaalt het niveau van de sporter(s) en bepaalt de sportieve doelstellingen  (G120401 Id12197-c)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een gesprek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Peilt naar de persoonlijke wensen en fysieke achtergrond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Identificeert incentives en obstakels om topprestaties te leveren zowel op technisch, tactisch, conditioneel als mentaal vlak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testen, vragenlijsten, enz. af (conditie, hartslag, vetpercentage, gewicht, lenigheid, bloeddruk)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Interpreteert en evalueert de resultaten van de afgenomen testen, vragenlijsten, enz.</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het sportproject tot op internationaal niveau uit volgende de persoonlijke visie en/of de visie van de dienst  (G120401 Id8660-c)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Leidt het werkoverleg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Heeft oog voor randvoorwaarden (materiaal, toegankelijkheid personen met een handicap, enz.)</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indien nodig, aan de betrokken actoren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Stemt de sessie af op het internationaal niveau van de doelgroep en maakt het materiaal of de uitrusting klaar  (G120401 Id24946-c)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zelfstandig een meerjaren-, jaar-, maand-, weekplan en trainingsvoorbereiding op voor sporters tot op internationaal niveau, met technische, tactische, conditionele en mentale aspecten op basis van prestatiedoelstellingen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ambities, diversiteit, beleving, enz. van de sporters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oefeningen geleidelijk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Plant voldoende hersteltijd in tussen sessies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het materiaal af op het internationaal niveau van de sporters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oefeningen aan de sporters voor en staat ze technisch, tactisch, conditioneel en mentaal bij tot op internationaal niveau  (G120401 Id16698-c)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omgang met de sporter(s) aan in functie van het action type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Formuleert concrete prestatiedoelen en bespreekt die met de sporter(s)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Beschrijft de te verwachten fysieke gevolgen en veranderingen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Kan technische en tactische handelingen aanleren en conditieopbouw verwezenlijken tot op het internationaal niveau</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Perfectioneert technieken, houdingen en motorische gedragingen (detailcoaching)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voldoende warming-up en cooling-down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Heeft aandacht voor blessurepreventie (belasting-belastbaarheid, uithouding, lenigheid, kracht)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extra instructies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Vraagt om feedback over de oefeningen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sportieve evoluties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het trainingsprogramma bij op basis van de noden en vorderingen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Verdeelt de aandacht over de verschillende sporters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Vermijdt gevaarlijke situaties, risico’s en potentieel gevaarlijke oefeningen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het naleven van de veiligheidsregels en aanwijzingen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specifieke software (film en beeldanalyse)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Kijkt sportmateriaal en -uitrusting na  (G120401 Id6779-c)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Adviseert bij de aanschaf van 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Kijkt sportmateriaal na en kan het onderhouden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Begeleidt en coacht sporters of teams tijdens een competitie tot op internationaal niveau en bepaalt persoonlijke of collectieve verbeteringen  (G120401 Id21225-c)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in detail de tactiek van de tegenstanders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Kan inspelen op de (re)actie van de andere coach of de tegenstander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een tactiek, wedstrijdplan en/of teamopstelling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Lijst op wat en wie mee moet naar een wedstrijd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Handelt wedstrijdformaliteiten en andere administratie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de sporter(s)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voor- en nabesprekingen over de sportprestaties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Begeleidt en bewaakt het groepsproces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Heeft aandacht voor zowel het lichamelijke als het mentale welzijn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Motiveert de sporters, moedigt ze aan en biedt hen structuur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Spreekt sporters aan op hun sportgedrag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sporters tijdens de wedstrijd (enkel bij het omgaan met teams)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Grijpt in wanneer de veiligheid van de sporters in het gedrang komt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de sportprestaties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als coach om met wedstrijddruk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een fysiek voorbereidingsprogramma (oefeningen, duur, frequentie, opeenvolgingen, enz.) voor een sporter of een team tot op internationaal niveau uit en past het toe  (G120401 Id21144-c)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een specifiek meerjarenplan op, op maat van een team of individu, in functie van prestatiegerichte doelstellingen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alle technische, tactische, conditionele en mentale aspecten van het trainingsprogramma op elkaar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geïndividualiseerde cardiotraining, krachttraining en/of conditietraining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het trainingsprogramma en stelt bij waar nodig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Denkt communicatieacties over de activiteiten voor een sporter of een team tot op internationaal niveau uit  (G120401 Id17985-c)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moderne media om te communiceren met alle betrokken actoren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specifieke software (film en beeldanalyse)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Presenteert informatie op een manier die belangstelling wekt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taalgebruik en boodschap aan persoonlijkheidskenmerken (action types) aan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Scout individuele sporters en/of teams tot op internationaal niveau in functie van talentselectie en wedstijdprestaties (G120401 Id32099-c)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Scout individuele sporters en/of teams tot op internationaal niveau in functie van talentselectie: stelt een lange termijnplan op voor talentontwikkeling, stelt eisen op voor talentontwikkeling, stelt een scoutingteam samen, geeft instructies aan scouts, beoordeelt prestaties, motivatie en aanleg van sporters, beoordeelt of sporters in aanmerking komen voor verdere ontwikkeling in de sport, overlegt met en/of rapporteert aan de betrokkenen (trainer, ouders, leerkracht, sporter, enz.)</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Scout individuele sporters en/of teams scouten tot op internationaal niveau in functie van wedstrijdprestaties: stelt eisen op, stelt een scoutingteam samen, geeft instructies aan scouts, overlegt met en/of rapporteert aan de betrokkenen (technische staf en sporters)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Stuurt binnen een organisatie sporttechnische medewerkers (trainers, stagiairs en vrijwilligers) aan in functie van hun persoonlijke ontwikkeling  (G120401 Id23253-c)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internationale ontwikkelingen en trends in het vakgebied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vaardigheden van de medewerkers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Peilt naar opleidingsbehoeften bij de medewerkers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Zoekt en selecteert relevante opleidingen in functie van de behoeften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een begeleidingsteam op internationaal niveau samen en coördineert de activiteiten ervan  (G120401 Id18000-c)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kantoorsoftware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planning af op de duur en volgorde van de opdrachten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planning af op de vaardigheden van de medewerkers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toe op de uitvoering van de opdrachten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Grijpt in bij verkeerd werk of gedrag van medewerkers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Bespreekt de uitvoering van de opdrachten met de medewerkers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er op toe dat veiligheids- en ethische voorschriften gerespecteerd worden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buitenlandse talen (vnl. spreekvaardigheid van sporttechnische termen)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gedragsverandering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relatie tussen beweging en gezondheid en de potentiële risico’s, inherent aan sport tot op het internationaal niveau</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meten en evalueren van fysieke conditie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veiligheidsregels voor goederen en personen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 en -vaardigheden en omgang met diverse doelgroepen en commerciële partners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omgang met de media (gesproken en geschreven pers)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competentiemanagement in functie van het aansturen van de Initiator, de Instructeur B en de Trainer B</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sociale 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sportgerelateerde wetenschappen anatomie, morfologie, biomechanica en voedingsleer in functie van het trainen en coachen van competitieve sporters tot op het internationaal niveau</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psychomotorische en -sociale ontwikkeling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ethisch verantwoord sporten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wedstrijdkalender, -reglementen en –procedures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(inter)nationale informatiekanalen (boeken, dvd’s, internet, enz.)</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opvoedkunde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didactiek en methodiek</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sportgerelateerde wetenschappen (inspannings)fysiologie, trainingsmethodiek, ontwikkelingsleer (met inbegrip van ontwikkelingslijnen) en motorisch leren in functie van het trainen en coachen van competitieve sporters tot op het internationaal niveau</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sporttrainingstechnieken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(fouten)analyse door directe observatie van sporters en door observatie van video-opnames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observatieprotocols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informaticatoepassingen en softwarepakketten (o.a. charting en video-opnames)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technische, tactische en conditionele aspecten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methoden om spelsituaties/wedstrijden te analyseren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EHBO en sportspecifieke medische aspecten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materiaal</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verschillende internationale visies (o.a. van de sportfederatie)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sportpsychologie (groepsdynamica, groepscohesie, action types, enz.)</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opmaken van een individueel profiel van de sporter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lange en korte termijndoelstellingen voor de individuele sporter en het team</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testbatterijen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ontwikkelingslijnen en gerelateerde oefenstof</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sporttakspecifieke internationale topsportlandschap</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scoutingtechnieken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actief op zoek gaan naar, evalueren en toepassen van nieuwe internationale trends, concepten en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trainingsschema (week-, maand-, jaar- en meerjarenplanning op technisch, tactisch en conditioneel vlak in functie van een ontwikkelingslijn, rekening houdend met mentale aspecten)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formuleren van concrete doelen (technisch, tactisch, conditioneel en mentaal) in samenspraak met de sporter(s)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van de tegenstander(s) tot op het internationaal niveau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bevorderen, begeleiden en bewaken van het groepsproces van zowel sporters als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presenteren van informatie op een manier die belangstelling wekt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beoordelen van prestaties, motivatie en aanleg van sporter(s) tot op internationaal niveau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beoordelen of de sporter(s) in aanmerking kom(t)(en) voor verdere ontwikkeling op internationaal niveau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met en/of rapporteren aan de betrokkenen (trainer, ouders, leerkracht, (sport)medische begeleiding, enz.)</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verbaal en non-verbaal communiceren, zowel met de individuele sporter in functie van de persoonlijkheidskenmerken (action types) als met het team en de overige betrokken actoren (trainers, bestuur, ouders, externe experts, enz.)</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sportspecifieke en sporttakoverschrijdende internationale evoluties (technisch, tactisch, conditioneel, mentaal, ontwikkelingslijnen, materiaal, enz.)</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en vragen van individuele en collectieve feedback en vragen aan sporters tot op internationaal niveau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motiveren, aanmoedigen en structuur bieden aan een sporter tot op internationaal niveau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een individueel profiel van de sterktes en zwaktes van de sporter tot op internationaal niveau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observeren, analyseren, detecteren, evalueren en remediëren tot op internationaal niveau (detailcoaching)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gepast pedagogisch en ethisch verantwoord omgaan met de sporter(s)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aanleren van technische en tactische handelingen en mentale vaardigheden (o.a. visualisatietechnieken en virtuele time-outs) en conditieopbouw verwezenlijken tot op het internationaal niveau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wetenschappelijk onderbouwd conditioneel en psychologisch begeleiden van een sporter tot op internationaal niveau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doorverwijzen van de sporter(s) naar sportmedische begeleiders en rekening kunnen  houden met hun trainingsadviezen in de trainingsbegeleiding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en evalueren van technische, tactische, mentale, conditionele en prestatiegerichte doelstellingen o.a. op basis van testresultaten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samenstellen van een begeleidingsteam op internationaal niveau en de activiteiten ervan coördineren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begeleiden, training geven, coachen en talent identificeren en selecteren volgens een eigen visie, gestoeld op de visie van de sportfederatie en andere internationale visies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met anderstalige 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met media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bewaren van het evenwicht tussen het verstrekken van informatie aan de pers en het afschermen van de sporter(s)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bewaren van het evenwicht tussen extrasportieve activiteiten (oa commerciële voorstellen) en het sportieve 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ondersteunen van de sporter(s) op het vlak van dopingreglementering en whereabouts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leiden van vergaderingen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van een jeugdopleidingsprogramma</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identificeren van obstakels om te presteren (o.a. demotivatie), het kunnen helpen van de sporter(s) tot op internationaal niveau om deze uit de weg te ruimen (reactief) en het kunnen vermijden dat ze (opnieuw) opduiken (proactief)</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interpreteren en evalueren van de resultaten van de afgenomen testen, vragenlijsten, enz. ter verbetering van de sporter(s) tot op internationaal niveau</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aanpassen van het aanbod, rekening houdend met omgevingsfactoren en het kunnen rekening houden met persoonsgebonden factoren (heterogeniteit, diversiteit, verwachtingen, beleving , enz.) van de sporter(s)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geleidelijk kunnen opbouwen van oefeningen en het kunnen bijstellen van het trainingsprogramma in functie van een sportieve (top)prestatie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selecteren van materiaal (training en wedstrijd) in functie van (top)prestaties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aanpassen van oefenstof met betrekking tot technische, tactische, conditionele en mentale aspecten en de verbetering hiervan tot op internationaal niveau</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inschatten, herkennen en desgevallend vermijden van gevaarlijke situaties, risico’s en oefeningen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opstellen en aanpassen van een tactiek, wedstrijdplan en/of teamopstelling in functie van de kwaliteiten van de eigen sporter(s) en/of die van de tegenstander(s) tot op internationaal niveau</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bijstellen van een meerjaren-, jaar-, maand- of weekprogramma en/of een training, op maat van de sporter(s) en/of het team in functie van gewijzigde omstandigheden (blessures, wijziging kalender, prestatiedip, enz.)</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aanpassen van het taalgebruik in functie van de boodschap én de doelgroep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inschatten van vaardigheden van medewerkers en deze gepast aanwenden in functie van prestatiedoelen, planningen en gewijzigde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inschatten, herkennen en vermijden van en desgevallend ingrijpen bij verkeerd gedrag van de sporter(s) en medewerkers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maken van tactische keuzes (ingrijpen) onder tijdsdruk tijdens een wedstrijd tot op internationaal niveau in functie van een wedstrijddoel</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afschermen van de sporter(s) van de media en extrasportieve activiteiten in functie van het sportieve programma</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ondernemen van gepaste acties naar de sporter(s) bij overtreding van reglementering m.b.t. doping en whereabouts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komen tot consensus tijdens vergaderingen, gesprekken, overleg, enz. (o.a. ontmijnen van een discussie)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meten van effecten en resultaten met  specifieke apparatuur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nakijken en onderhouden van specifiek technisch sportmateriaal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assisteren bij het uitvoeren van complexe technische bewegingen tot op internationaal niveau en verbeteren van fouten al doende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EHBO-technieken: wondverzorging, transporttechnieken, reanimatie en mond- op mondbeademing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onder controle houden van lichaamstaal</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Werkt met één of meerdere individuele sporters en/of groepen sporters (jeugdige, adolescenten, volwassenen, enz.) die sport beoefenen op nationaal en/of internationaal niveau, met talentenscouts, bestuursleden, juryleden, wedstrijdorganisatoren, tegenstanders, sportfederaties, ouders en familieleden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Coördineert het begeleidingsteam van de sporter(s), doorgaans bestaande uit andere trainers, paramedici, psychologen, enz.</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Vermits de doelstellingen moeten bereikt worden, werkt de Trainer A onder een grote tijdsdruk tijdens de wedstrijden, en onder een zekere tijdsdruk tijdens trainingen of revalidatieperiodes van de sporter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Trainer A moet zich permanent aanpassen aan wisselende omgevings- en persoonsgebonden factoren tijdens het training geven, het begeleiden en het coachen (weer, accommodatie, gemoedstoestand sporter, andere tegenstander met andere kwaliteiten, prestatiedruk of opbouwperiode, enz.) voor het bereiken van zijn doelstellingen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Trainer A is onderhevig aan een hoge prestatiedruk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Trainer A voert deze taken doorgaans uit als professionele activiteit of in combinatie met andere professionele activiteiten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kan worden uitgeoefend op elke tijdstip, met inbegrip van de avonden in de week, de woensdagnamiddag en de weekends en/of vakantie- en feestdagen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Werkt meestal in een drukke omgeving tijdens trainingen en wedstijden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houdt nationale en internationale verplaatsingen in (voornamelijk voor de trainingsstages, wedstrijd- en scoutingmomenten)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Trainer A dient rekening te houden met een complex geheel van verschillende en variërende parameters (technische, tactische, conditionele en mentale eigenschappen/kwaliteiten van eigen sporter(s) en tegenstander(s)) tijdens zowel training geven, begeleiden als coachen)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vastliggende wedstrijdkalender geeft een bepaalde structuur en stabiliteit aan het sportseizoen. Deze kan echter doorbroken worden onder invloed van onvoorziene omstandigheden (blessures, prestatiedip, aanpassingen in kwalificatiewedstrijden en –limieten, enz.)</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Trainer A dient rekening te houden met het feit dat de sporter(s) dopingreglementering en whereabouts moeten respecteren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Trainer A werkt in een (sterk) gemediatiseerde en gecommercialiseerde context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Werkt met amateurs, semiprofessionele en/of professionele sporter(s), die de combinatie (dienen te) maken tussen topsport en studie of tewerkstelling</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kunnen aan boord leggen van verhoogde concentratie tijdens wedstrijdsituaties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aan boord leggen van een goede concentratie tijdens de trainingssessies (extra uitleg: detailcoaching, actief zoeken naar verbeterpunten, enz.)</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continue aftasten van de prestatiegrenzen van de sporter(s) met aandacht voor de fysieke en psychische integriteit van de sporter(s)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vermijden van gevaarlijke situaties, risico’s en potentieel gevaarlijke oefeningen en het ingrijpen wanneer de veiligheid van sporters in het gedrang komt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omgaan met sporters in een één op veel relatie: de volledige groep stimuleren en ondertussen elk individu uit de groep afzonderlijk opvolgen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zelf opnemen van een voorbeeldrol (o.a. handelen op een ethisch verantwoorde manier)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vertrouwelijk omgaan en rekening houden met de medische en privégegevens van de sporter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zeer snel op eenzelfde ogenblik verwerken van een grote hoeveelheid informatie tijdens wedstrijden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snel inspelen op veranderde omgevings- en persoonskenmerken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evenwicht bewaren tussen het verstrekken van informatie aan de pers en het afschermen van de sporter(s)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evenwicht bewaren tussen extrasportieve activiteiten (o.a. commerciële voorstellen) en het sportieve programma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(topsport)visie van de sportfederatie of de sportclub, de persoonlijke ambities van de sporter of de ploeg en de persoonlijke visie van de Trainer A, de training en de mogelijkheden van de sporter bepalen het handelingskader</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onderstaande taken binnen het meerjarenplan dat hij zelfstandig opmaakt en waarin zowel technische, tactische, conditionele en mentale aspecten worden geïntegreerd voor competitieve sporters tot op het internationale niveau. De taken van de Trainer A zijn o.a. het communiceren, opvolgen van evoluties, geven van feedback, individualiseren, pedagogisch en didactisch handelen, plannen, samenwerken in team en tactisch en strategisch handelen, tijdens het training geven, het begeleiden en het coachen en bij het identificeren en selecteren van talent en het verzamelen van informatie. De Trainer A creëert tevens zelfstandig het werkkader van de Initiator, de Instructeur B en de Trainer B. De Trainer A coördineert een team van experten, dat samen werkt aan de ontwikkeling van de sporter(s), en draagt de eindverantwoordelijkheid hierover.</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accommodatie, de mogelijkheden en de topsportvisie van de sporter, de wedstrijdkalender, het wedstrijdreglement, de sporttakspecifieke regels en gebruiken, de goedkeuring van de ouders voor minderjarige sporters, de vooropgestelde doelen, enz.</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sportwetenschappelijke trainingsexperts (sportarts, sportpsycholoog, bewegingsanalist, sportfysioloog, sportvoedingsdeskundige, fysiotherapeut), andere Trainers A, physical trainer, paramedici, enz. voor de ontwikkeling van de sporter(s) en de continue ontwikkeling van eigen kennis en vaardigheden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uitwerken en coördineren van het werkkader (op basis van een meerjarenplan met technische, tactische, conditionele en mentale aspecten) voor een goed aangestuurde Initiator, Instructeur B en Trainer B (respectievelijk voor beginnende en recreatieve sporters, voor competitieve sporters tot op het provinciaal/landelijk niveau en voor competitieve sporters tot op internationaal niveau)</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creatie van een optimaal ontwikkelingsklimaat: geven van feedback, individualiseren, maken van de juiste keuzes, enz.</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coherente en efficiënte meerjarenplanning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weloverwogen en gecontroleerd veiligheidsbeleid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open communicatie met alle betrokken actoren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permanent bijscholen van zichzelf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behalen van vooropgestelde individuele en collectieve prestatiedoelstellingen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Verantwoorde didactische en pedagogische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fysieke en psychische integriteit van de sporter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groeiproces van de sporter(s), met bijzondere aandacht voor het evenwichtig uitbouwen van een topsportcarrière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realistische en uitdagende prestatiedoelstellingen voor de sporter(s)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Geen vereisten.</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Geen</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