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0175</w:t>
      </w:r>
      <w:r>
        <w:t>)</w:t>
      </w:r>
    </w:p>
    <w:p w:rsidR="003B07E1" w:rsidRDefault="003B07E1" w:rsidP="003B07E1">
      <w:pPr>
        <w:pStyle w:val="DossierTitel"/>
      </w:pPr>
      <w:r>
        <w:t>Uitvaartmanager </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Uitvaartmanager </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uitvaartmanager coördineert, adviseert, organiseert en superviseert uitvaarten en begrafenisceremonies van overledenen en handelt volgens de wensen van de klant, de protocollen en rituelen van de uitvaarten, geloofsovertuigingen en volgens de regelgeving van lokale besturen en volksgezondheid teneinde een kwaliteitsvolle en reglementaire begrafenis aan te bieden.’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5</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2015</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01147)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gepast met alle actoren (leidinggevende, collega’s, klanten,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assertief met alle actoren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leidinggevende(n)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Stuurt medewerkers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met de leidinggevende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zelfstandig beslissingen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Anticipeert op omstandigheden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veiligheid, milieu, kwaliteit en welzijn  (co 01148)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  (hef- en tiltechnieken,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economisch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ecologisch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procedures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conform de opgestelde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veiligheids- en milieuvoorschriften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Bespreekt problemen met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Lost problemen op in eigen verantwoordelijkheidsdomein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Leert nieuwe technieken en past ze toe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Handelt volgens de professionele gedragscodes  (co 01149)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empathisch met alle betrokken actoren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zakelijke en ceremoniële omgangsvormen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de persoonlijke hygiëne en zorgt voor een verzorgd voorkomen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zijn/haar voorkomen en kledij aan conform de taakuitvoering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Neemt kennis van de opdracht (uurroosters, plaatsen, werkzaamheden, …), maakt het materiaal en de accessoires klaar die nodig zijn voor de begrafenis  (K260101 Id13535-c)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Plant en treft de nodige voorbereidingen voor de uitvaart (middelen en personeel)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wensen van de familie en de nabestaanden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opdrachten af met oog voor detail en met de nodige zorgvuldigheid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het stockbeheer  (K260101 Id17087-c)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Bestelt producten volgens de noodzaak van het bedrijf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capaciteit van de voorraadruimtes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Ontvangt en controleert de binnengekomen bestellingen aan de hand van de bestelbon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Stockeert de binnengekomen producten en materialen op hun vaste plaats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de kwaliteit van de levering (tekorten, beschadigingen, gebreken, … van producten,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Geeft de opdracht om de technische ruimtes en installaties, het rollend materieel en het materiaal schoon te maken  (K260101 Id16300)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richtlijnen voor hygiëne en past deze toe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het onderhoudsplan en –richtlijnen en past deze toe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ervoor dat de techniek en het materieel van de opdracht op elkaar zijn afgestemd worden (vegen, ontsmetten,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ervoor dat de hoeveelheid product op de vervuiling en het oppervlak wordt afgestemd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of het gebruikte materiaal gereinigd wordt vooraleer het op geborgen wordt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richtlijnen voor het sorteren van het afval en past deze toe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Plant en organiseert preventief of curatief basisonderhoud van machines of uitrustingen  (K260101 Id18027-c)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Plant en organiseert het basisonderhoud van machines en uitrustingen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de werkvolgorde vast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planning en wijzigingen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materiaal voor de uitvoering van de opdrachten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kleine onderhoudswerken uit indien noodzakelijk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het onderhoudsplan en –richtlijnen en past deze toe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toezicht op en draagt zorg voor de operationaliteit van het gebouw en de infrastructuur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de werking en de staat van de machines en haar uitrusting na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Bespreekt problemen met de leidinggevende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de organisatie uit voorafgaand aan de uitvaart  (K260101 Id16729-c, K260201 Id4655-c)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samen met de familie de organisatie en voorwaarden voor de uitvaartplechtigheid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details van de uitvaart vast volgens de wensen van de overledene en/of nabestaanden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Verstrekt de klant informatie betreffende mogelijkheden en kosten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een offerte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Adviseert de klant over de verschillende producten (warenkennis: kisten, urnen, begraafplaatsornamenten,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Zoekt informatie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Spreekt het protocol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het rouwdrukwerk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het rouwdrukwerk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Bewerkt foto’s en maakt foto’s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Verwijst, indien nodig, naar andere dienstverleners (drukker, traiteur,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eventueel een presentatie of de uitvaartmuziek samen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Vervoert de overledene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Begeleidt de bezoekers en de familie in het uitvaartcentrum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Kist de overledene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logistieke taken uit indien noodzakelijk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de administratieve post-mortemdocumenten en controleert de voorwaarden voor de uitvaart  (K260101 Id18167-c, K260201 Id16374-c/17285-c)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specifieke kantoorsoftware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Vraagt vergunningen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de aanwezigheid van documenten of gegevens na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en plant de administratieve verplichtingen die samenhangen met de uitvaart, binnen een vooraf bepaald tijdsbestek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Haalt de post-mortemdocumenten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de administratieve documenten voor de toelating tot begrafenis of crematie in 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nationale en internationale wettelijke bepaling op en past deze toe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Behandelt en presenteert het lichaam (kist, aankleden, …)  (K260101 Id24118-c, K260201 Id24075-c)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de opdracht (lijkverzorging, thanatopraxie ,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Handelt volgens veiligheidsvoorschriften ( hygiëne, dragen van aangepaste kledij bij besmettingen,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de lijktooi en baart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alle maatregelen voor een goede bewaring van de overledene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groetkamer in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de begrafenisceremonie uit  (K260101 Id17690-c/24116-c/24120-c, K260201 Id15277-c/16323-c/20804-c)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Regisseert de uitvaartplechtigheid (inrichten van de rouwzaal, schikkingen van rouwartikels, coördinatie van godsdienstige of burgerlijke deelnemers,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aanwijzingen aan de medewerkers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Vervoert de overledene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de doodskist, urne,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deontologische code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gangbare protocol en etiquette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toezicht op het verloop van de begrafenisceremonie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de wensen van de familie en de nabestaanden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familie en nabestaanden op hun gemak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Begeleidt en leidt de nabestaanden, familie, rouwstoet op de dag van de uitvaart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ceremonie binnen de voorziene tijd uit, rekening houdend met mogelijke knelpunten op een rustige en serene wijze</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Ondersteunt het personeel in de technieken, protocollen, handelswijzen (ceremonie, dienst, …) </w:t>
      </w:r>
      <w:r>
        <w:rPr>
          <w:rFonts w:cstheme="minorHAnsi"/>
        </w:rPr>
        <w:t xml:space="preserve"> </w:t>
      </w:r>
      <w:r w:rsidRPr="00A4228D">
        <w:rPr>
          <w:rFonts w:cstheme="minorHAnsi"/>
        </w:rPr>
        <w:t>(K260101 Id21738-c)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uitleg over de uitvoering van de opdrachten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zelf het goede voorbeeld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Bespreekt de uitvoering van de opdrachten met de medewerkers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Stuurt bij indien nodig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de vaardigheden en ontwikkeling van de medewerkers op</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Adviseert de klant bij leven over de opmaak van zijn/haar uitvaart </w:t>
      </w:r>
      <w:r>
        <w:rPr>
          <w:rFonts w:cstheme="minorHAnsi"/>
        </w:rPr>
        <w:t xml:space="preserve"> </w:t>
      </w:r>
      <w:r w:rsidRPr="00A4228D">
        <w:rPr>
          <w:rFonts w:cstheme="minorHAnsi"/>
        </w:rPr>
        <w:t>(K260201 Id13738-c)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vragen over de wens van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Doet een voorstel tot wilsbeschikking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Zoekt informatie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informatie over de mogelijkheden van zijn/haar uitvaart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Toont artikelen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Spreekt een protocol af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een offerte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informatie over de mogelijkheden tot en regelt de financiële afhandeling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Int de betalingen voor de bestelde producten en diensten </w:t>
      </w:r>
      <w:r>
        <w:rPr>
          <w:rFonts w:cstheme="minorHAnsi"/>
        </w:rPr>
        <w:t xml:space="preserve"> </w:t>
      </w:r>
      <w:r w:rsidRPr="00A4228D">
        <w:rPr>
          <w:rFonts w:cstheme="minorHAnsi"/>
        </w:rPr>
        <w:t>(K260201 Id9199-c)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Bedient de kassa- en/of registratiesysteem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een voorschot aan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formulieren in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uitgevoerde diensten in rekening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Superviseert een opgraving</w:t>
      </w:r>
      <w:r>
        <w:rPr>
          <w:rFonts w:cstheme="minorHAnsi"/>
        </w:rPr>
        <w:t xml:space="preserve"> </w:t>
      </w:r>
      <w:r w:rsidRPr="00A4228D">
        <w:rPr>
          <w:rFonts w:cstheme="minorHAnsi"/>
        </w:rPr>
        <w:t>(K260201 Id25935-c)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documenten in orde betreffende de opgraving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Ziet toe op de uitvoering van de opgraving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aanwijzingen aangaande de opgraving</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Neemt deel aan het bepalen van promotie- en communicaties voor de begrafenisdiensten </w:t>
      </w:r>
      <w:r>
        <w:rPr>
          <w:rFonts w:cstheme="minorHAnsi"/>
        </w:rPr>
        <w:t xml:space="preserve"> </w:t>
      </w:r>
      <w:r w:rsidRPr="00A4228D">
        <w:rPr>
          <w:rFonts w:cstheme="minorHAnsi"/>
        </w:rPr>
        <w:t>(K260201 Id23685-c)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mee de doelstellingen van de dienst of instelling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mee de verkoopdoelstellingen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Werkt promotiemateriaal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of regelt de decoratie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Benut de mogelijkheden van de ruimte of de etalage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de brochures en reclame op een zichtbare plaats voor de klant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Evalueert promotieactiviteiten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Coördineert de activiteiten van het team en leidt de dagelijkse werking binnen de onderneming </w:t>
      </w:r>
      <w:r>
        <w:rPr>
          <w:rFonts w:cstheme="minorHAnsi"/>
        </w:rPr>
        <w:t xml:space="preserve"> </w:t>
      </w:r>
      <w:r w:rsidRPr="00A4228D">
        <w:rPr>
          <w:rFonts w:cstheme="minorHAnsi"/>
        </w:rPr>
        <w:t>(K260101 Id18000-c, K260201 Id19197-c)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kwaliteitsdoelstellingen van de onderneming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Coördineert de werkactiviteiten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Stemt de planning af op de vaardigheden van de medewerkers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Stemt de planning af op de duur en volgorde van de opdrachten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Ziet toe op de uitvoering van de opdrachten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Volgt het personeel op en evalueert het </w:t>
      </w:r>
      <w:r>
        <w:rPr>
          <w:rFonts w:cstheme="minorHAnsi"/>
        </w:rPr>
        <w:t xml:space="preserve"> </w:t>
      </w:r>
      <w:r w:rsidRPr="00A4228D">
        <w:rPr>
          <w:rFonts w:cstheme="minorHAnsi"/>
        </w:rPr>
        <w:t>(K260201 Id19197-c)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Evalueert de medewerkers op afgesproken tijdsstippen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het vormingsaanbod actueel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Stimuleert de deelname aan professionele events bij de medewerkers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Organiseert de werving en selectie van nieuwe medewerkers</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economie (handelspraktijken, kosten-baten analyse, …)</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ecologische producten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onderhoudstechnieken/-procedures voor preventief/curatief (basis)onderhoud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erfrecht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thanatopraxie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eretekens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administratie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sociale wetgeving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erkende erediensten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protocol en etiquette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 en ontsmettingsproducten en –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hygiëne-, milieu- en veiligheidsreglementering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voorraadbeheer</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materialen en producten met betrekking tot de uitvaart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sociale vaardigheden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wetgeving en reglementen op: de begraafplaatsen, de graven, de identificatie van graven, opschriften en concessies, de begraving, ontgraving, lijkverbranding en crematie wat betreft formaliteiten en documenten, vervoer van stoffelijk overschot, burgerlijke stand in verband met overlijden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lijktooi en bewaringszorgen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kisten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het opstellen van een overlijdensbericht en een rouwbrief</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te gebruiken gereedschappen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te gebruiken apparatuur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vakterminologie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gedragscodes/deontologie</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gepast kunnen communiceren met actoren (leidinggevende, collega’s, klanten,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uitwisselen van informatie met collega’s en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efficiënt kunnen samenwerken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aansturen van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leidinggevende,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zelfstandig kunnen nemen van beslissingen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ergonomische 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economische principes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ecologische principes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conform de opgestelde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veiligheids- en milieuvoorschriften in specifieke situaties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leren en toepassen van nieuwe 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empathisch kunnen communiceren met alle betrokken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de zakelijke en ceremoniële omgangsvormen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verzorgen van persoonlijke hygiëne en verzorgd voorkomen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aanpassen van de kledij conform de taakuitvoering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plannen en treffen van de nodige voorbereidingen voor de uitvaart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de wensen van de familie en nabestaanden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bestellen van producten conform de noodzaak van het 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capaciteit van de voorraadruimtes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binnengekomen bestellingen aan de hand van de bestelbon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evalueren van de kwaliteit van de levering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voorzien van richtlijnen voor hygiëne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voorzien en toepassen van een onderhoudsplan en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plannen en organiseren van onderhoudswerken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vastleggen van de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voorzien van materiaal voor de uitvoering van de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voorzien dat de hoeveelheid van product wordt afgestemd op de vervuiling van het oppervlak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of het gebruikte materiaal gereinigd wordt vooraleer het opgeborgen wordt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voorzien van richtlijnen voor het sorteren van afval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plannen en organiseren van het basisonderhoud en uitrustingen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nagaan van de werking en de staat van de machines en haar uitrusting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toezicht houden op en zorg dragen voor de operationaliteit van het gebouw en de infrastructuur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kantoorsoftware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vastleggen van de uitvaart volgens de wensen van de overledene en/of nabestaanden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verstrekken aan de klant van informatie betreffende mogelijkheden en kosten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van de klant over de verschillende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regelen van het rouwdrukwerk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begeleiden van de bezoekers en de familie in het uitvaartcentrum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samen met de familie of nabestaanden de organisatie en voorwaarden voor de uitvaartplechtigheid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een offerte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opzoeken van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afspreken van het protocol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verwijzen naar andere dienstverleners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regelen en plannen van de administratieve verplichtingen die samenhangen met de uitvaart, binnen een vooraf bepaald tijdsbestek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nagaan van de aanwezigheid van documenten en/of 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aanvragen van vergunningen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 orde brengen van administratieve documenten voor de toelating tot begrafenis of crematie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n toepassen van de nationale en internationale wettelijke bepalingen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handelen volgens veiligheidsvoorschriften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nemen van alle maatregelen voor een goede bewaring van de overledene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regisseren van de uitvaartplechtigheid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aanwijzingen aan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toezicht houden op het verloop van de begrafenis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houden aan de deontologische code, het gangbare protocol en de etiquette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houden aan de wensen van de familie en de nabestaanden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de ceremonie binnen de voorziene tijd, rekening houdend met mogelijke knelpunten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dragen van de doodskist en of urne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 hun gemak stellen van de familie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leiden en begeleiden van de nabestaanden, familie, rouwstoet op de dag van de uitvaart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uitleg geven over de uitvoering van de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aangeven van aanwijzingen van de opgraving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het goede voorbeeld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bespreken van de uitvoering van de opdrachten met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toezien dat veiligheids- en milieuvoorschriften worden gerespecteerd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vaardigheden van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evalueren van de medewerkers op afgesproken tijdsstippen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actueel houden van het vormingsaanbod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stimuleren van de deelname aan professionele events bij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stellen van vragen over de wens van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een voorstel doen tot wilsbeschikking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informatie over de mogelijkheden van zijn/haar uitvaart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tonen van artikelen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informatie geven over de mogelijkheden tot en het kunnen regelen van de financiën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bedienen van de kassa- en/of registratiesysteem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in rekening kunnen brengen van de uitgevoerde diensten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vragen van een voorschot aan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invullen van formulieren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 orde brengen van documenten betreffende de opgraving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toezien op de uitvoering van de opgraving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mee kunnen bepalen van de doelstellingen van het 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mee kunnen bepalen van de verkoopdoelstellingen van het bedrijf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uitwerken van promotiemateriaal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of regelen van de decoratie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benutten van de mogelijkheden van de ruimte of de etalage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plaatsen van de brochures en reclame op een zichtbare plaats voor de klant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evalueren van promotieactiviteiten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kwaliteitsdoelstellingen van de onderneming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afstemming van de planning op de vaardigheden van de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afstemmen van de planning op de duur en volgorde van de opdrachten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toezien op de uitvoering van de opdrachten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flexibel kunnen aanpassen aan collega’s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anticiperen op onvoorziene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aanpassen en wijzigen van planning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bijsturen van het personeel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bespreken van problemen met de leidinggevende (hangt af van de setting)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oplossen van problemen in eigen verantwoordelijkheidsgebied</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afwerken van opdrachten met oog voor detail en de nodige zorgvuldigheid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ontvangen van de binnengekomen bestellingen aan de hand van de bestelbon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stockeren van de binnengekomen producten en materialen op hun vaste plaats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afstemmen van de techniek en het materieel op de opdracht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afstemmen van de hoeveelheid product op de vervuiling van het oppervlak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sorteren van de afval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kleine onderhoudswerken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nagaan van de werking en de staat van de machines en haar uitrusting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opmaken van rouwdrukwerk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bewerken en opmaken van foto’s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ophalen van post mortemdocumenten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kisten van de overledene met het oog op nationaal en internationaal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logistieke taken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samenstellen van een presentatie of de uitvaartmuziek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verzorgen van de lijktooi  en het kunnen opbaren van de overledene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inrichten van de groetkamer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vervoeren van de overledene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dragen van de lijkkist, urne, …</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met veranderende werktijden, 24/24 en 7 dagen op 7</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Delen van dit beroep worden uitgeoefend in teamverband of individueel, waarbij de nodige flexibiliteit belangrijk is om zich aan te passen aan de wijzigingen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houdt verplaatsingen in en het vergt de nodige mobiliteit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zowel binnen als buiten uitgeoefend waarbij de beroepsbeoefenaar onderhevig is aan (atmosferische) wijzigingen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bij een aantal handelingen noodzakelijk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strikt afgebakend in de tijd en er heersen in veel gevallen deadlines, wat stressbestendigheid en resultaatsgerichtheid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vereist een respectvolle houding tegenover de klanten, de collega’ en de leidinggevende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begrafenissector kent reglementeringen, inzake veiligheid, gezondheid, hygiëne, welzijn en milieu</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dit beroep kent een uitgebreide reglementering inzake postmortem-documenten voor binnen- en buitenland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vraagt een kwaliteitsbewustzijn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dit beroep vergt een organisatievermogen om ervoor te zorgen dat alle uitvaartdiensten op de afgesproken datum kunnen plaatsvinden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vereist het afstemmen van de dienstverlening op de wensen en noden van de klanten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uitvaartmanager gaat op constructieve en transparante wijze informatie uitwisselen met de andere actoren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uitvaartmanager stelt afhankelijk van de bedrijfscontext, gevarieerde of complexe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uitvaartmanager kan zich aanpassen en flexibel opstellen bij wisselende omgevingsfactoren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uitvaartmanager moet het werk van zijn werknemers superviseren en controleren en evalueren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uitvaartmanager moet zorgvuldig gebruik maken van 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uitvaartmanager moet steeds de veiligheids- en kwaliteitsvoorschriften respecteren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uitvaartmanager moet bijblijven met de ontwikkelingen binnen de sector, dit vergt leergierigheid en het volgen van opleidingen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uitvaartmanager moet oog hebben voor kwaliteit en tevredenheid van de klant door met zorg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uitvaartmanager moet het positief imago van zijn onderneming uitstralen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uitvaartmanager moet op een serene en empathisch wijze omgaan met de klanten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uitvaartmanager moet handelen conform de deontologische code, vooropgestelde etiquette en protocollen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uitvaartmanager moet georganiseerd en gestructureerd kunnen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uitvaartmanager moet lasten kunnen dragen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uitvaartmanager moet dienst en/of tijdsschema’s kunnen naleven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uitvaartmanager moet de dagelijkse leiding van het bedrijf voeren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dit beroep vergt esthetische bekwaamheid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dit beroep vereist zorgvuldigheid en nauwkeurigheid</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eigen werk en van het werk van medewerkers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coördineren van de activiteiten en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anticiperen op onverwachte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oplossen van problemen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superviseren van het materieel, de gebouwen en de infrastructuur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stockbeheer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de uitvaart samen met de familie, het begeleiden van de familie en/of nabestaanden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adviseren van de klant aangaande de producten en mogelijkheden van een uitvaart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opmaken, bewerken en regelen van het rouwdrukwerk en foto’s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de financiële regelingen en opmaak van offertes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begeleiden van bezoekers en familie in het uitvaartcentrum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alle post mortem administratieve verplichtingen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organisatie van de overledene voor de uitvaart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en uitvoeren van de uitvaartceremonie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superviseren van een opgraving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promotie en communicaties aangaande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opleiden, superviseren en evalueren van het personeel</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veiligheids-, gezondheids-, kwaliteits- en milieuvoorschriften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procedures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nationale en internationale wetgeving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bedrijfsleider of leidinggevende om zaken te bespreken voor de optimalisering van de bedrijfswerking indien hij in dienstverband werkt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externen voor praktische zaken (afhalen van documenten,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werknemers voor het ondersteunen van de activiteiten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efficiënt functioneren binnen de onderneming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milieubewust, kwalitatief en veilig uitvoeren van het werk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handelen volgens de professionele gedragscode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identificeren van de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klaarmaken van het materiaal en de accessoires die nodig zijn voor de begrafenis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het stockbeheer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geven van de opdracht voor de schoonmaak van de technische ruimtes en installaties, het rollend materieel en het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plannen en organiseren van preventief en curatief basisonderhoud van machines en uitrustingen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alle aspecten voorafgaand aan de uitvaart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de administratieve post-mortem documenten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voorwaarden om de uitvaart te kunnen uitvoeren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behandelen en presenteren van het lichaam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begrafenisceremonie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begeleiden van de familie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leiden van het personeel wat betreft de technieken, protocollen, handelswijzen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adviseren van de klant bij leven over de opmaak van zijn/haar uitvaart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innen van de betalingen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superviseren van een opgraving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promoties en communicaties voor de begrafenisdiensten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coördineren van de activiteiten van het team en het leiden van de organisatie</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Geen wettelijke attesten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	Bij voorkeur rijbewijs B</w:t>
      </w:r>
      <w:r>
        <w:br/>
      </w:r>
      <w:r>
        <w:t>-	Medische keuring voor ceremonieel vervoer</w:t>
      </w:r>
      <w:r>
        <w:br/>
      </w:r>
      <w:r>
        <w:t>-	Verplichte vaccinaties (beroepsziekten)</w:t>
      </w:r>
      <w:r>
        <w:br/>
      </w:r>
      <w:r>
        <w:t>-	Bewijs van goed gedrag en zeden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