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Medewerker hout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BK-0468-1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hout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Medewerker hout komt voor in de competentfiche van de SERV (H220201) ‘Meubel- en houtbewerkingsmachines bedienen’ onder de benaming ‘Medewerker bij industriële productie (m/v)’, in de competentfiche (H220101) ‘Houten werkstukken assembleren’ als ‘Medewerker assemblage houtindustrie (m/v)’ en in de competentfiche (F150101) ‘Montage houten structuren’ als ‘helper timmerman-installateur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uitvoeren van ondersteunende routinematige handelingen zoals het (machinaal) bewerken van werkstukken, het vergaren of het afmonteren van onderdelen in hout of het plaatsen van houten elementen, steeds onder leiding van een verantwoordelijke en aan de hand van instructies teneinde de continuïteit van de werkzaamheden te ondersteunen.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Helpt bij het voorbereiden van de grondstoffen i.f.v. de werkopdracht (aftekenen, paren,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(houtbewerkings)machines</w:t>
      </w:r>
      <w:r w:rsidRPr="000F2A0A">
        <w:rPr>
          <w:sz w:val="22"/>
        </w:rPr>
        <w:t/>
      </w:r>
    </w:p>
    <w:p w:rsidR="000F2A0A" w:rsidRDefault="000F2A0A" w:rsidP="000F2A0A">
      <w:pPr>
        <w:pStyle w:val="Voetnoot"/>
        <w:numPr>
          <w:ilvl w:val="1"/>
          <w:numId w:val="14"/>
        </w:numPr>
      </w:pPr>
      <w:r w:rsidRPr="000F2A0A">
        <w:rPr>
          <w:sz w:val="22"/>
        </w:rPr>
        <w:t/>
      </w:r>
      <w:r>
        <w:rPr>
          <w:sz w:val="22"/>
        </w:rPr>
        <w:t>Basiskennis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Basiskennis van hout en plaatmateriaal</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Helpt bij het bewerken van onderdelen met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Basiskennis van (houtbewerkings)machines</w:t>
      </w:r>
      <w:r w:rsidRPr="000F2A0A">
        <w:rPr>
          <w:sz w:val="22"/>
        </w:rPr>
        <w:t/>
      </w:r>
    </w:p>
    <w:p w:rsidR="000F2A0A" w:rsidRDefault="000F2A0A" w:rsidP="000F2A0A">
      <w:pPr>
        <w:pStyle w:val="Voetnoot"/>
        <w:numPr>
          <w:ilvl w:val="1"/>
          <w:numId w:val="14"/>
        </w:numPr>
      </w:pPr>
      <w:r w:rsidRPr="000F2A0A">
        <w:rPr>
          <w:sz w:val="22"/>
        </w:rPr>
        <w:t/>
      </w:r>
      <w:r>
        <w:rPr>
          <w:sz w:val="22"/>
        </w:rPr>
        <w:t>Basiskennis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Helpt bij het vergaren van houten elementen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Basiskennis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Helpt bij het behandelen van oppervlakken in hout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hout en plaatmateriaal</w:t>
      </w:r>
      <w:r w:rsidRPr="000F2A0A">
        <w:rPr>
          <w:sz w:val="22"/>
        </w:rPr>
        <w:t/>
      </w:r>
    </w:p>
    <w:p w:rsidR="000F2A0A" w:rsidRDefault="000F2A0A" w:rsidP="000F2A0A">
      <w:pPr>
        <w:pStyle w:val="Voetnoot"/>
        <w:numPr>
          <w:ilvl w:val="1"/>
          <w:numId w:val="14"/>
        </w:numPr>
      </w:pPr>
      <w:r w:rsidRPr="000F2A0A">
        <w:rPr>
          <w:sz w:val="22"/>
        </w:rPr>
        <w:t/>
      </w:r>
      <w:r>
        <w:rPr>
          <w:sz w:val="22"/>
        </w:rPr>
        <w:t>Basiskennis van afwerkingstechnieken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Helpt bij het monteren en afregelen van beslag (scharnieren, lades,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Basiskennis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beslag, sluit- en schuifmechanismen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Transporteert grondstoffen, constructieonderdelen en materialen (intern, op de werf)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Transporteert op de werf of plaats van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Helpt bij het plaatsen van houten elementen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houten elementen aan de ruwbouw en aan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sluitstukken tussen houten elementen en de ruwbouw</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te integreren onderdelen (gootsteen, stopcontacten, (verluchtings)roosters, spots,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koudebruggen en lekken in het lucht- en dampscherm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Basiskennis van hout en plaatmateriaal</w:t>
      </w:r>
      <w:r w:rsidRPr="000F2A0A">
        <w:rPr>
          <w:sz w:val="22"/>
        </w:rPr>
        <w:t/>
      </w:r>
    </w:p>
    <w:p w:rsidR="000F2A0A" w:rsidRDefault="000F2A0A" w:rsidP="000F2A0A">
      <w:pPr>
        <w:pStyle w:val="Voetnoot"/>
        <w:numPr>
          <w:ilvl w:val="1"/>
          <w:numId w:val="14"/>
        </w:numPr>
      </w:pPr>
      <w:r w:rsidRPr="000F2A0A">
        <w:rPr>
          <w:sz w:val="22"/>
        </w:rPr>
        <w:t/>
      </w:r>
      <w:r>
        <w:rPr>
          <w:sz w:val="22"/>
        </w:rPr>
        <w:t>Basiskennis van constructie- en verbindingstechnieken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bevestigingsmiddelen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plaatsingsmethodes voor houten elementen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Helpt bij het afwerken van elementen in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afwerkingstechnieken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beslag, sluit- en schuifmechanismen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randapparatuur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(houtbewerkings)machines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werkdocumenten, tekeningen en plannen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montagetechnieken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opspansystemen (manueel en machinaal)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hout en plaatmateriaal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afwerkingstechnieken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beslag, sluit- en schuifmechanismen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constructie- en verbindingstechnieken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bevestigingsmiddelen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voorschriften rond afval en gevaarlijke producten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plaatsingsmethodes voor houten elementen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koudebruggen en lekken in het lucht- en dampscherm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Transporteert op de werf of plaats van bestemming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houten elementen aan de ruwbouw en aan elkaar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sluitstukken tussen houten elementen en de ruwbouw</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te integreren onderdelen (gootsteen, stopcontacten, (verluchtings)roosters, spots,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en op bouwplaatsen (nieuwbouw), in bewoonde of in gebruik zijnde gebouwen (renovatie) binnen ondernemingen en vergt de nodige mobiliteit en contactvaardigheid.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 en bouwsector kennen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toegewezen werkzaamheden, het voorbereiden, bewerken, vergaren, (af)monteren, afwerken of plaatsen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en 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 met collega's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meubelmakers, interieurbouwers, schrijnwerkers of leidinggevenden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en collega's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meer bevoegd persoon indien hij een probleem niet opgelost krijgt of te maken krijgt met werkzaamheden die buiten zijn bevoegdheid vallen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voorbereiden van de grondstoffen i.f.v. de werkopdracht (aftekenen, paren,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bewerken van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vergaren van houten elementen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behandelen van oppervlakken in hout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monteren en afregelen van beslag (scharnieren, lades,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grondstoffen, constructieonderdelen en materialen (intern,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plaatsen van houten elementen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het afwerken van elementen in hout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