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0151</w:t>
      </w:r>
      <w:r>
        <w:t>)</w:t>
      </w:r>
    </w:p>
    <w:p w:rsidR="003B07E1" w:rsidRDefault="003B07E1" w:rsidP="003B07E1">
      <w:pPr>
        <w:pStyle w:val="DossierTitel"/>
      </w:pPr>
      <w:r>
        <w:t>Industrieel schilder - bouw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Industrieel schilder - bouw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van SERV H340401 gebruikt eveneens de benaming ‘Industrieel schilder (m/v)’. De Competent-fiche geeft ook andere benamingen aan zoals ‘Aanbrenger van industriële verf’, ‘Gelcoater’, ‘Industrieel lakker’, ‘Industrieel pistoolschilder’, ‘Industrieel verfspuiter’, ‘Industrieel vernisser’, ‘Industrieel schilder met spuitpistool’, ‘Metaalschilder’, ‘Schilder-thermolakker’,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industrieel schilder - bouw doet aan oppervlaktebehandeling teneinde een maximale bescherming te bieden aan industriële constructies en bouwwerken tegen vroegtijdige degradatie, chemische aantasting en/of brand.</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00993)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00994)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00995)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(kwarts- en houtstof,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2C5C20" w:rsidRDefault="002C5C20" w:rsidP="002C5C20">
      <w:pPr>
        <w:pStyle w:val="Voetnoot"/>
      </w:pPr>
      <w:r w:rsidRPr="00362EDF">
        <w:t/>
      </w:r>
      <w:r w:rsidRPr="006D6AE0">
        <w:br/>
        <w:t>PBM’s en CBM’s = persoonlijke en collectieve beschermingsmiddelen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00996)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00997)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bouwplaatsorganisatie en de logische werkvolgorde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00998)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steigers volgens de instructies en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steigerklasse en doet een visuele controle van een 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de steiger en de steigeronderdelen aan de bevoegde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gepaste verankeringen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vangnetten en geschikte randbeveiliging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goederenliften op en zekert die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goederenlift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hefplatformen volgens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Beheert het materiaal en het materieel (co 00999)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leveringen in ontvangst en controleert op hoeveelheid en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het materieel en de materialen op de daartoe voorziene plaats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werkadministratie bij (co 01000)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planning en werkdocumenten bij</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Plant de industriële schilderwerkzaamheden</w:t>
      </w:r>
      <w:r>
        <w:rPr>
          <w:rFonts w:cstheme="minorHAnsi"/>
        </w:rPr>
        <w:t xml:space="preserve"> </w:t>
      </w:r>
      <w:r w:rsidRPr="00A4228D">
        <w:rPr>
          <w:rFonts w:cstheme="minorHAnsi"/>
        </w:rPr>
        <w:t>(co 01001)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en begrijpt plannen, werktekeningen of werkopdrachten om te bepalen welke oppervlakken welke behandeling krijgen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aard en de staat van de ondergrond van de te behandelen oppervlakken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op de bouwplaats op, of berekent op plan de nodige hoeveelheden materiaal voor een bepaald 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uitvoeringsfases en maakt een planning op van het verloop van de eigen werkzaamheden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PBM’s (o.a. helmluchtfilter) en CBM’s voor de uitvoering van werkzaamheden met gevaarlijke stoffen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PBM’s en CBM’s voor het opbergen van gevaarlijke stoffen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werkplek voor</w:t>
      </w:r>
      <w:r>
        <w:rPr>
          <w:rFonts w:cstheme="minorHAnsi"/>
        </w:rPr>
        <w:t xml:space="preserve"> </w:t>
      </w:r>
      <w:r w:rsidRPr="00A4228D">
        <w:rPr>
          <w:rFonts w:cstheme="minorHAnsi"/>
        </w:rPr>
        <w:t>(co 01002)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de bereikbaarheid van de te bewerken constructies en oppervlaktes en voorziet de nodige beveiligingen (ladders, rolstellingen, steigers, randbeveiliging, levenslijnen,…)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materieel op voor de oppervlaktevoorbereiding en/of de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Dekt niet te behandelen delen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opvang of afzuiging van straalafval, roest, stof,…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schilderwerkzaamheden, inspecties en onderhoud uit op hoogte en moeilijk toegankelijke werkplekken</w:t>
      </w:r>
      <w:r>
        <w:rPr>
          <w:rFonts w:cstheme="minorHAnsi"/>
        </w:rPr>
        <w:t xml:space="preserve"> </w:t>
      </w:r>
      <w:r w:rsidRPr="00A4228D">
        <w:rPr>
          <w:rFonts w:cstheme="minorHAnsi"/>
        </w:rPr>
        <w:t>(co 01003)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touwtechnieken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valbeveiliging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beschermingsmiddelen (PBM’s en CBM’s)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reddings- en evacuatiemogelijkheden bij storingen en noodgevallen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Reinigt het oppervlak door te stralen </w:t>
      </w:r>
      <w:r>
        <w:rPr>
          <w:rFonts w:cstheme="minorHAnsi"/>
        </w:rPr>
        <w:t xml:space="preserve"> </w:t>
      </w:r>
      <w:r w:rsidRPr="00A4228D">
        <w:rPr>
          <w:rFonts w:cstheme="minorHAnsi"/>
        </w:rPr>
        <w:t>(co 01004)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toestand van het te behandelen oppervlak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omgeving tegen schadelijke stoffen die vrijkomen bij het reinigen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Schermt de onderdelen van de installatie af die bij het voorbehandelen schade zouden kunnen oplopen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Installeert de straalinstallatie en maakt deze gebruiksklaar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Straalt walshuid, roest, oude verflagen en andere onzuiverheden af van de constructie of van (gedemonteerde) onderdelen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Onderbreekt het straalwerk regelmatig op een veilige wijze ter controle van de ruwheidsgraad van het gestraalde oppervlak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afvoer van het straalafval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ondergrond vrij van roest, stof en/of vet met de gepaste technieken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Behandelt het oppervlak machinaal voor (pneumatisch en/of elektrisch)</w:t>
      </w:r>
      <w:r>
        <w:rPr>
          <w:rFonts w:cstheme="minorHAnsi"/>
        </w:rPr>
        <w:t xml:space="preserve"> </w:t>
      </w:r>
      <w:r w:rsidRPr="00A4228D">
        <w:rPr>
          <w:rFonts w:cstheme="minorHAnsi"/>
        </w:rPr>
        <w:t>(co 01005)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toestand van het te behandelen oppervlak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omgeving tegen schadelijke stoffen die vrijkomen bij het reinigen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Schermt de onderdelen van de installatie af die bij het voorbehandelen schade zouden kunnen oplopen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met behulp van pneumatische en/of elektrische toestellen de oude verflagen, roest of andere onreinheden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Behandelt het oppervlak handmatig voor</w:t>
      </w:r>
      <w:r>
        <w:rPr>
          <w:rFonts w:cstheme="minorHAnsi"/>
        </w:rPr>
        <w:t xml:space="preserve"> </w:t>
      </w:r>
      <w:r w:rsidRPr="00A4228D">
        <w:rPr>
          <w:rFonts w:cstheme="minorHAnsi"/>
        </w:rPr>
        <w:t>(co 01006)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toestand van het te behandelen oppervlak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omgeving tegen schadelijke stoffen die vrijkomen bij het reinigen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Schermt de onderdelen van de installatie af die bij het voorbehandelen schade zouden kunnen oplopen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Behandelt het oppervlak handmatig voor : steekt af, schraapt af, borstelt af, schuurt af, bikt, ...</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Behandelt het oppervlak chemisch voor </w:t>
      </w:r>
      <w:r>
        <w:rPr>
          <w:rFonts w:cstheme="minorHAnsi"/>
        </w:rPr>
        <w:t xml:space="preserve"> </w:t>
      </w:r>
      <w:r w:rsidRPr="00A4228D">
        <w:rPr>
          <w:rFonts w:cstheme="minorHAnsi"/>
        </w:rPr>
        <w:t>(co 01007)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toestand van het te behandelen oppervlak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Beschermt de omgeving tegen schadelijke stoffen die vrijkomen bij het reinigen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Schermt de onderdelen van de installatie af die bij het voorbehandelen schade zouden kunnen oplopen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Behandelt het oppervlak voor met behulp van chemische producten: beitsen, fosfateren, passiveren,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opvangen en afvoer van restproducten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verf voor </w:t>
      </w:r>
      <w:r>
        <w:rPr>
          <w:rFonts w:cstheme="minorHAnsi"/>
        </w:rPr>
        <w:t xml:space="preserve"> </w:t>
      </w:r>
      <w:r w:rsidRPr="00A4228D">
        <w:rPr>
          <w:rFonts w:cstheme="minorHAnsi"/>
        </w:rPr>
        <w:t>(co 01008)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de gebruiksaanwijzingen van de gebruikte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verf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eventueel pigment, oliën, een verharder of een verdunner toe aan de verf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Mengt de verf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viscositeit van de verf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aangemaakte verf klaar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Schildert manueel</w:t>
      </w:r>
      <w:r>
        <w:rPr>
          <w:rFonts w:cstheme="minorHAnsi"/>
        </w:rPr>
        <w:t xml:space="preserve"> </w:t>
      </w:r>
      <w:r w:rsidRPr="00A4228D">
        <w:rPr>
          <w:rFonts w:cstheme="minorHAnsi"/>
        </w:rPr>
        <w:t>(co 01009)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na welke behandeling de ondergrond heeft gekregen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het type rol of borstel in functie van de uit te voeren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een grondlaag of fixeermiddel aan met rol of borstel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Kit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tussenlagen aan met rol of borstel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Schuurt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afdeklaag aan met rol of  borstel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Schildert met een verfpistool</w:t>
      </w:r>
      <w:r>
        <w:rPr>
          <w:rFonts w:cstheme="minorHAnsi"/>
        </w:rPr>
        <w:t xml:space="preserve"> </w:t>
      </w:r>
      <w:r w:rsidRPr="00A4228D">
        <w:rPr>
          <w:rFonts w:cstheme="minorHAnsi"/>
        </w:rPr>
        <w:t>(co 01010)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na welke behandeling de ondergrond heeft gekregen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het type verfpistool in functie van de uit te voeren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verfpistool af en probeert het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grondlaag (primer)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andere bedekkende lagen (tussenlagen, eindlaag) aan met het geschikte verfpistool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impregneerlaag al dan niet aangekleurd aan met een verfpistool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transparante afwerklagen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Metalliseert </w:t>
      </w:r>
      <w:r>
        <w:rPr>
          <w:rFonts w:cstheme="minorHAnsi"/>
        </w:rPr>
        <w:t xml:space="preserve"> </w:t>
      </w:r>
      <w:r w:rsidRPr="00A4228D">
        <w:rPr>
          <w:rFonts w:cstheme="minorHAnsi"/>
        </w:rPr>
        <w:t>(co 01011)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na welke behandeling de ondergrond heeft gekregen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metallisatiemethode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de metallisatie-apparatuur in functie van de uit te voeren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apparatuur af in functie van de uit te voeren werken en omgevingsomstandigheden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metallisatielagen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de kwaliteit en past corrigerende maatregelen toe</w:t>
      </w:r>
      <w:r>
        <w:rPr>
          <w:rFonts w:cstheme="minorHAnsi"/>
        </w:rPr>
        <w:t xml:space="preserve"> </w:t>
      </w:r>
      <w:r w:rsidRPr="00A4228D">
        <w:rPr>
          <w:rFonts w:cstheme="minorHAnsi"/>
        </w:rPr>
        <w:t>(co 01012)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voor aanvang van het werk de staat van de 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regelmatig de uitgevoerde behandeling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het werk indien nodig volledig of gedeeltelijk opnieuw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Onderhoudt en reinigt het materieel</w:t>
      </w:r>
      <w:r>
        <w:rPr>
          <w:rFonts w:cstheme="minorHAnsi"/>
        </w:rPr>
        <w:t xml:space="preserve"> </w:t>
      </w:r>
      <w:r w:rsidRPr="00A4228D">
        <w:rPr>
          <w:rFonts w:cstheme="minorHAnsi"/>
        </w:rPr>
        <w:t>(co 01013)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reinigt de steigers, ladders en randbeveiligingen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en reinigt beschermingsmiddelen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het materieel met oplos- of verdunningsmiddelen bij het overgaan op een andere bewerking, een andere verfsoort, enz.</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het gereedschap met oplos- of verdunningsmiddelen bij het beëindigen van de werkzaamheden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Rondt de werkzaamheden af</w:t>
      </w:r>
      <w:r>
        <w:rPr>
          <w:rFonts w:cstheme="minorHAnsi"/>
        </w:rPr>
        <w:t xml:space="preserve"> </w:t>
      </w:r>
      <w:r w:rsidRPr="00A4228D">
        <w:rPr>
          <w:rFonts w:cstheme="minorHAnsi"/>
        </w:rPr>
        <w:t>(co 01014)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Recycleert gebruikte verven, verdunners, verharders, versnellers en verpakkingen en ander afval volgens de 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beschermingsmiddelen en bergt deze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werkplek ordelijk en net achter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weggehaalde voorwerpen terug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de bescherming van niet te behandelen delen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wiskunde: rekenen (inhoudsmaten, soortelijk gewicht, volumes,…) en meetkunde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chemie en chemische processen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vakjargon van de externe kwaliteitscontroleurs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isolatie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asbest, kwartsstof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hoogspanning,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brand- en explosiegevaar dat het mengen van bepaalde verven en oplosmiddelen met zich kan meebrengen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en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individuele middelen om de werken uitvoerbaar te maken: hydraulische schaarliften, metalen stijgijzers, klimsporen, ladders, hangbruggen,...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aangelijnd werken (antivalsystemen, levenslijnen, touwtechnieken)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schildermaterieel: straalketels, verfcontainers, verfspuitpompen, ventilatie-eenheden, 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metallisatiemethodes en de te gebruiken apparatuur (met vlamboog, met plasma, met draad, met poeder, met gas, met perslucht,…)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toepassing van gebruikelijke legeringen bij metallisatie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dichtheid en hechting van de metallisatie en de dikte van de laag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fiches en specificaties die op de etiketten van de verf-, coating- en metallisatieproducten staan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roestverschijnselen (actieve roesthaarden, bladerroest, oxydehuid en schilfers, vliegroest, ...) en  onreinheden (walshuid, olie, vet, vocht, chemische bezoedeling, teer, ...) op het voor te behandelen oppervlak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voorbehandelingstechnieken en de bijhorende norm: straalreinigen, stoomreinigen, mechanisch reinigen, thermisch reinigen, handmatig ontroesten, ontvetten,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effecten van een slecht gereinigde ondergrond op de kwaliteit van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de straalapparatuur en de machineonderdelen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bekomen reinheidsgraad zoals beschreven in de normen en technische voorlichtingen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te gebruiken reinigingsmaterieel: compressor, straalinstallatie, pneumatisch, hydraulisch en elektrisch materieel, hogedrukreiniger, bikhamer, staalborstel, steekmes, schraper,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 gebruiken straalproducten en hun toepassing: grit, zand, steelshot, glasparels,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gezondheidsrisico’s verbonden aan het stralen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veiligheids- en milieuvoorschriften bij het stralen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veiligheidsapparatuur bij het stralen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de PBM’s bij het stralen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nauwgezette controle van PBM’s en CBM’s bij het stralen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gebruikte grootheden en hun eenheden (druk, temperatuur,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normen inzake reinheid en ruwheid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gevaren en risico’s die aan het omgaan met industrieel afval verbonden zijn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met betrekking tot afvalverwerking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stockageregels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en de toepassing van verharders, verdunners en versnellers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waaraan verfvoorbereiding moet voldoen in functie van de aan te brengen lagen en de toepassingsmethode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maximumtijdspanne waarbinnen het gereinigde oppervlak behandeld moet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gebruikte instrumenten en controlemomenten bij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legeringen, hun eigenschappen en hun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interacties tussen de verf en het te behandelen oppervlak (metaal, beton, hout,…)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vereiste omgevingsfactoren (beschreven werkomstandigheden en belang van het verband tussen luchtvochtigheid, luchttemperatuur en dauwpunt) en de klimatologische omstandigheden waarin niet geschilderd kan worden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componenten van de verf en hun voornaamste eigenschappen en toepassingsgebieden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principes en toepassingen van de verschillende verf- en beschermingstechnieken (verfspuiten, metallisatietechnieken, voorschilderen,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kwaliteitsnormen, waarden en toleranties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aan een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klanten en derden: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algemene bouwplaatsorganisatie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werkdocumenten (werkopdracht, voorstudie, bestek, werkplan,…)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leveringen op basis van de bestelstaat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nodige volumes en hoeveelheden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hoeveelheden, de kwaliteit en de houdbaarheid, en de correcte opslag van de vereiste materialen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belemmerende obstakels verwijderd moeten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afdekken van niet te behandelen en niet-verplaatsbare voorwerpen, installaties, wanden, plafonds en vloeren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van de omgevingsfactoren (vochtigheid, temperatuur, dauwpunt...)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vereiste omgevingsfactoren (beschreven werkomstandigheden en belang van het verband tussen luchtvochtigheid, luchttemperatuur en dauwpunt) en de klimatologische omstandigheden waarin niet geschilderd kan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diverse roestverschijnselen (actieve roesthaarden, bladerroest, oxydehuid en schilfers, vliegroest, ...) en  onreinheden (walshuid, olie, vet, vocht, chemische bezoedeling, teer, ...) op het voor te behandelen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oppervlakteruwheid en nagaan van de oppervlaktereinheid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de aard en de staat van de ondergronden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behandelingen en producten het best toegepast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bekomen van de voorgeschreven reinheidsgraad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de veiligheidsvoorschriften bij het stralen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veiligheidstoestand van de te behandelen installatie om verschillende technieken aan te wenden.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opvang of afzuiging van straalafval, roest, 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etiketten, veiligheids- en gezondheidsfiches en symbolen en de veiligheidsaanbevelingen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technische fiches in verband met de behandeling en de toepassing van verven.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voorgeschreven mengverhoudingen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verharders, verdunners en versnellers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homogeniteit van het verfmengsel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viscositeit van de verf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maximale tijdspanne waarbinnen het gereinigde oppervlakte behandeld moet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meest geschikte verftechniek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verschillende verflagen in de voorgeschreven diktes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meten van de diktes van verflagen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indelen van het te behandelen oppervlak in functie van het uit te voeren werk (eerst het grote werk uitvoeren met het gepaste materieel, vervolgens de afwerking verzorgen)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voorgeschreven droogtijden van de verschillende lagen en kunnen relateren aan de klimatologische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het juiste verfpistool volgens het te behandelen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bijregelen van de luchtdruk, het verfdebiet en het luchtdebiet van een verfpistool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erop kunnen toezien dat de aangebrachte verflaag niet bevuild of gecontamineerd raakt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uitwassen van de borstels met de geschikte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de geschikte metallisatiemethode en -apparatuur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afstellen van de metallisatieapparatuur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fiches en werkdocumenten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werkadministratie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beschikbare tijd (opgelegde termijn), de plaats (bereikbaarheid van de werkplek), de machines, gereedschappen en materialen (soorten en de verwerking ervan, …) bij de planning van de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voorzien van reddingen en evacuaties bij storingen en noodgevallen, ook op grote hoogte (bv. op pylonen)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steigers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aangelijnd werken (gebruik van antivalsystemen, levenslijnen, touwtechnieken)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handmatige voorbehandelingstechnieken (afsteken, afschrapen, afborstelen, afschuren, afbikken,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machinale voorbehandelingstechnieken (straalreinigen, stoomreinigen, mechanisch reinigen, thermisch reinigen, handmatig ontroesten, ontvetten,…)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chemische voorbehandelingstechnieken (beitsen, fosfateren, passiveren, ...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op een veilige manier kunnen gebruiken van de straalmachine, met bijzondere aandacht voor de opvang van de terugslag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de staalborstel, beitel/naaldhamer, het schuurpapier, de schuurmachine, slijpmachine, bikhamer,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de mengmachine of mixer voor het homogeen mengen van verven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oproeren van de verf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egaal kunnen schilderen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polijsten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afkitten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de gepaste borstels en rollen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spuiten met een verfpistool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zo kunnen aanbrengen van de verf dat ze een homogene film vormt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handmatig kunnen reinigen van moeilijk bereikbare 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rein kunnen houden van de steigers, ladders en randbeveiligingen (vrijhouden van verfresten en regelmatig verwijderen van straalgrit)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onderhouden van verfpistool en spuitinstallatie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onderhouden van de straalinstallaties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metallisatielagen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een atelier of op locatie in open of gesloten bouwplaatsen, vaak op hoogte en op moeilijk bereikbare plaatsen.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alleen of in teamverband uitgeoefend, meestal in een onderneming waar de nodige flexibiliteit belangrijk is om zich aan te passen aan wijzigingen van planning, collega’s,  omgeving, klimatologische 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het werken in de buurt van hoogspanning, het werken met gevaarlijke producten (verven, verdunners, …)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de bouwplaats maakt men gebruik van hand-, elektrisch en pneumatisch gereedschap. Dit kan gevaar inhouden voor lawaaihinder en stof , het oplopen van snijwonden, het stoten tegen voorwerpen, gevaar voor elektrocutie,…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precisie,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bouwplaats respecteren en PBM’s en CBM’s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het schilderen van pylonen, bruggen en dergelijke kan men zich gedurende lange tijd op grote hoogte bevinden, wat impliceert dat men geen hoogtevrees mag hebben.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inrichten van de eigen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 van steigers, ladders en levenslijnen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reinigen en voorbehandelen van het oppervlak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verven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schilderen, metalliseren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rapportering van de eigen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uitvoeringsmethode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klimatologische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codes van goede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gezondheidsinstructies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 instructies van de leidinggevende, de bouwplaatsverantwoordelijke en/of klant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leidinggevende voor de werkopdracht en de bouwplaatsverantwoordelijke bij problemen (gevaarlijke en/of onveilige situaties, onvoorziene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ploegbaas bij het uitvoeren van metingen van de omgevingsfactoren (vochtigheid, temperatuur, dauwpunt...)</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beheren van materiaal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industriële schilderwerkzaamheden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reinigen van het oppervlak door te stralen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(pneumatisch en/of elektrisch) voorbehandelen van het oppervlak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handmatig voorbehandelen van het oppervlak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chemisch voorbehandelen van het oppervlak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verf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manueel schilderen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schilderen met een verfpistool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metalliseren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toepassen van corrigerende maatregelen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onderhouden en reinigen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werkzaamheden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Er zijn geen wettelijke attesten.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Er zijn geen verplichte attesten, maar voor het uitoefenen van bepaalde werkzaamheden en/of risicovolle taken zijn bepaalde attesten en/of certificaten vereist, zoals VCA, attest veilig werken op hoogte, een bekwaamheidsattest voor hoogtewerker, …</w:t>
      </w:r>
      <w:r>
        <w:br/>
      </w:r>
      <w:r>
        <w:t/>
      </w:r>
      <w:r>
        <w:br/>
      </w:r>
      <w:r>
        <w:t>Er bestaat wel een personencertificatie  “Industriële schilders - algemeen”, “Manueel ontroesten en schilderen” en ”Metallisateur vlamspuiten”. Deze zijn aanbevolen omdat ze vaak gevraagd worden in de lastenboeken voor de uitvoering van openbare en private werken. </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