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0342</w:t>
      </w:r>
      <w:r>
        <w:t>)</w:t>
      </w:r>
    </w:p>
    <w:p w:rsidR="003B07E1" w:rsidRDefault="003B07E1" w:rsidP="003B07E1">
      <w:pPr>
        <w:pStyle w:val="DossierTitel"/>
      </w:pPr>
      <w:r>
        <w:t>Coördinator - adviseur decoratieve schilderwerken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Coördinator - adviseur decoratieve schilderwerken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Stuurt een schilder- decoratieteam aan, neemt deel aan de schilder- en decoratie-activiteiten, adviseert  klanten en professionals over de schilder- en decoratieve technieken en coördineert deze werken, teneinde een volledig schilder en decoratieproject te realiseren.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2018</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02721)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gepast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en uitvoering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klanten en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alle betrokkenen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onvoorziene omstandigheden aan de verantwoordelijke en/of derden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kwaliteit van decoratieve schilderwerken (co 02785)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werkopdracht uit volgens de planning en timing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zijn eigen werkzaamheden kwalitatief en kwantitatief,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de etiketten en markering van de gebruikte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bij decoratieve schilderwerken met oog voor welzijn, veiligheid en milieu (co 02786)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gevaarlijke situaties, neemt gepaste maatregelen bij ongelukken en meldt ongevallen en incidenten volgens interne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voorschriften met betrekking tot netheid en hygiëne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een ergonomische werkhouding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gevaarlijke en schadelijke stoffen (cement en hulpstoffen, kwarts- en houtstof, asbesthoudende producten, …), lawaai, brand en explosies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 en vraagt om informatie in geval van twijfel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en schoonmaak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energiestromen duurzaam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Beperkt geluidshinder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Waarborgt de veiligheid van de werknemers (co 02723)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erover dat de taken uitgevoerd worden door werknemers die een goede opleiding en goede instructies hebben gekregen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Vestigt  de aandacht van de medewerkers op de veiligheidsregels als de situatie dat vereist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Treedt op wanneer een werknemer de veiligheidsregels niet in acht neemt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de gevaren en analyseert de risico’s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staat van de arbeidsmiddelen, collectieve en persoonlijke beschermingsmiddelen en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maatregelen als er gevaarlijke situaties opduiken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en controleert correct gebruik (co 02724)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steigerklasse en doet een visuele controle van een rolsteiger voor ingebruikname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gebreken van vaste steigers  en rolsteigers aan de “bevoegde persoon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rolsteigers, vaste steigers en hoogwerkers volgens de veiligheidsregels in veranderende weersomstandigheden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volgens de veiligheidsregels als toegangsmiddel</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Stuurt de teams op de afwerkingswerf aan</w:t>
      </w:r>
      <w:r>
        <w:rPr>
          <w:rFonts w:cstheme="minorHAnsi"/>
        </w:rPr>
        <w:t xml:space="preserve"> </w:t>
      </w:r>
      <w:r w:rsidRPr="00A4228D">
        <w:rPr>
          <w:rFonts w:cstheme="minorHAnsi"/>
        </w:rPr>
        <w:t>(co 02787)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Communiceert gepast en efficiënt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Verdeelt de taken in functie van de competenties en vaardigheden van de aangewezen ploegleden voor de voorbereidings-, toepassings- en afwerkingsfase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werkprocedures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Situeert de uitvoeringsklasse van de staat van de ondergrond en het afwerkingsaspect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voor de correcte toepassing van de overeengekomen arbeidsprocedures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Betrekt de leden van de ploeg bij het zoeken naar oplossingen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Stimuleert de teamgeest en zin voor samenwerking bij de arbeiders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Begeleidt zijn ploeg bij de toepassing van bepaalde technieken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BIM (Building Information Modeling) om informatie te delen met het bouwteam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Merkt opleidings- en ontwikkelingsbehoeftes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Analyseert voorafgaand een afwerkingswerf</w:t>
      </w:r>
      <w:r>
        <w:rPr>
          <w:rFonts w:cstheme="minorHAnsi"/>
        </w:rPr>
        <w:t xml:space="preserve"> </w:t>
      </w:r>
      <w:r w:rsidRPr="00A4228D">
        <w:rPr>
          <w:rFonts w:cstheme="minorHAnsi"/>
        </w:rPr>
        <w:t>(co 02788)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aard van de te behandelen ondergrond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de oppervlaktetoestand van de te behandelen ondergronden: vochtigheidsgraad, alkaliteit, poedervorming, cohesie, zuurgehalte,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fouten in de vlakheid op de vloeren, wanden en plafonds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de voorschriften van het werfdossier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Spoort de overeenkomsten van de oppervlakken met de plannen en werkschetsen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Aanvaardt de verenigbaarheid van de voorgeschreven behandelingen met de oppervlaktetoestand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een afwerkingswerf voor</w:t>
      </w:r>
      <w:r>
        <w:rPr>
          <w:rFonts w:cstheme="minorHAnsi"/>
        </w:rPr>
        <w:t xml:space="preserve"> </w:t>
      </w:r>
      <w:r w:rsidRPr="00A4228D">
        <w:rPr>
          <w:rFonts w:cstheme="minorHAnsi"/>
        </w:rPr>
        <w:t>(co 02789)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werkwijzes voor de voorbereidende behandelingen, de toepassing van verven en de plaatsing van soepele wand- en vloerbekledingen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tint in functie van de gewenste afwerkingskleur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Keurt de materialen en producten goed op basis van de beschrijvingen en specificaties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een bescherming van de niet-behandelde zones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invloed van de weersomstandigheden op de werkzaamheden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de bestellingen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en begrijpt plannen, werktekeningen of werkopdrachten om te bepalen welke oppervlakken welke bekleding krijgen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Meet op de bouwplaats op, of berekent op plan de nodige hoeveelheden materiaal voor een bepaald werk</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Organiseert de werflogistiek voor decoratieve schilderwerken</w:t>
      </w:r>
      <w:r>
        <w:rPr>
          <w:rFonts w:cstheme="minorHAnsi"/>
        </w:rPr>
        <w:t xml:space="preserve"> </w:t>
      </w:r>
      <w:r w:rsidRPr="00A4228D">
        <w:rPr>
          <w:rFonts w:cstheme="minorHAnsi"/>
        </w:rPr>
        <w:t>(co 02790)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relevante software(systemen) voor stockbeheer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de hoeveelheid te bestellen producten af op de planning en de verwerkingssnelheden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Verwerkt de gegevens van het verbruik van het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Organiseert de logistiek  en stockbeheer van een showroom</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Organiseert een afwerkingswerf</w:t>
      </w:r>
      <w:r>
        <w:rPr>
          <w:rFonts w:cstheme="minorHAnsi"/>
        </w:rPr>
        <w:t xml:space="preserve"> </w:t>
      </w:r>
      <w:r w:rsidRPr="00A4228D">
        <w:rPr>
          <w:rFonts w:cstheme="minorHAnsi"/>
        </w:rPr>
        <w:t>(co 02791)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chronologie van de werkzaamheden op in functie van de overeengekomen prioriteiten, de tijd, de middelen en de andere werkzaamheden die moeten plaatsvinden of die bezig zijn op de werf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Schat de duur van bepaalde werkzaamheden in ( voorbereiding, toepassing 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Verdeelt de werkposten in functie van de beschikbaarheden en competenties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Coördineert de fases van de werkzaamheden met andere beroepstakken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de vooruitgang op en vult het dagboek der werken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planning aan bij onvoorziene omstandigheden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Volgt de afwerkingswerf op</w:t>
      </w:r>
      <w:r>
        <w:rPr>
          <w:rFonts w:cstheme="minorHAnsi"/>
        </w:rPr>
        <w:t xml:space="preserve"> </w:t>
      </w:r>
      <w:r w:rsidRPr="00A4228D">
        <w:rPr>
          <w:rFonts w:cstheme="minorHAnsi"/>
        </w:rPr>
        <w:t>(co 02792)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overeenstemming van de uitvoering van de ondergronden en de toepassingen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afmetingen op, controleert die en geeft die door aan de administratie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overeenstemming van de kleurtinten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Oriënteert de uitvoering van het werk  in functie van de gevraagde uitvoeringsklasse en de werksnelheid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corrigerende maatregelen bij materiële tekortkomingen of uitvoeringsgebreken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oplossingen voor de vastgestelde problemen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deel aan de werfvergaderingen, de technische overlegvergaderingen,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de technische problemen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het dagboek der werken in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Adviseert de klanten</w:t>
      </w:r>
      <w:r>
        <w:rPr>
          <w:rFonts w:cstheme="minorHAnsi"/>
        </w:rPr>
        <w:t xml:space="preserve"> </w:t>
      </w:r>
      <w:r w:rsidRPr="00A4228D">
        <w:rPr>
          <w:rFonts w:cstheme="minorHAnsi"/>
        </w:rPr>
        <w:t>(co 02793)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en communiceert over de werkzaamheden (duur, hinder,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Beheert de klachten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Waarborgt de netheid van de omgeving van de afwerkingswerf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op esthetisch vlak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de klant op technisch vlak (vochtproblematiek,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kleuradvies en kleurengamma voor</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schilder-, vloerbedekking – en decoratiewerken uit </w:t>
      </w:r>
      <w:r>
        <w:rPr>
          <w:rFonts w:cstheme="minorHAnsi"/>
        </w:rPr>
        <w:t xml:space="preserve"> </w:t>
      </w:r>
      <w:r w:rsidRPr="00A4228D">
        <w:rPr>
          <w:rFonts w:cstheme="minorHAnsi"/>
        </w:rPr>
        <w:t>(co 02794)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Analyseert de ondergrond en  bepaalt de behandeling in functie van de toepassing (verf, behang,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Saneert de schimmelproblemen  in woningen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de verf, te beschilderen of te decoreren oppervlakken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manuele schilderwerken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met een verfpistool schilderwerken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imitaties en decoratief schilderwerk met effecten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gewapend, structuur- of veelkleurig schilderwerk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Onderhoudt en reinigt het materiaal met de geschikte middelen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Behandelt metalen en houten oppervlakten met brandwerende producten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wandbekledingen, ornamenten en sierlijsten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en plaatst raamdecoratie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en plaatst vloerbekleding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Recycleert gebruikte verven, verdunners, verharders, versnellers en verpakkingen en ander afval volgens de voorschriften</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BIM (building information model) en relevante programma’s voor BIM</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Engels (begrijpt bij het lezen vakjargon, woorden en eenvoudige zinnen in werkgerelateerde documenten)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EHBO</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regels omtrent lozen van water en de eindigheid van drinkwater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communicatietechnieken bij het aansturen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technieken voor het leiden van een team (motivatie- en coachingtechnieken)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basisprincipes van teamwerk (conflictbeheersing, groepsdynamiek, onderhandelen,…)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relevante kwaliteitskaders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planningsmethodes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 op de werkvloer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specifieke risico’s van asbest, kwarts- en houtstof en andere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specifieke risico’s van elektriciteit,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til- en 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voorschriften rond afvalbeheer en het scheiden van afval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een geoptimaliseerd verbruik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regelgevingen, normen en veiligheidsvoorschriften omtrent ladders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voorwaarden voor gebruik van ladders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persoonlijke beschermingsmiddelen die nodig zijn voor het werken op hoogte (levenslijn, veiligheidsharnas,…)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gevaren en opleidingsverplichtingen bij het gebruik van hoogwerkers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bevoegdheden, steigerklassen en toelaatbare belasting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gebruik van steigers in veranderende weersomstandigheden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voorraadbeheer en de vigerende wetgeving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 gebruiken gereedschappen, machines en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onderhoudstechnieken van gereedschappen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arbeidsorganisatie in functie van een dagplanning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werkdocumenten, schema's,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traceerbaarheid van producten, bewijsstukken van wat uitgevoerd werd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De procedures voor het tijdsbeheer van het bedrijf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opleidingsmogelijkheden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administratieve softwarepaketten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toleranties: normen en voorschriften (TV’s, STS, NBN,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pathologie van gebouwen: begrip van de fysische en chemische fenomenen van gebouwen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verbanden tussen de aard van de ondergrond en de behandeling ervan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verf-, decoratie- en wandtechnieken: handmatig schilderwerk, pistoolschilderen, wandbekledingen, vloerbekledingen, thermische isolatie,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oplossingen voor de vocht- en isolatie problemen bij verf, muurbekleding, vloerbekleding en decoratiewerk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planlezen: schaal, berekening van de oppervlakte,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een meetstaat, bestek, de drie uitvoeringsklasses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decoratieve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kleurentheorie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invloed van de aard van de ondergrond op de behandeling en de verfwerken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verfproducten, muurbekledingproducten en vloerbedekking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mengverhoudingen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De uitvoeringfases van een afwerkingswerf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De chronologie van de activiteiten, werkmethode, logische opeenvolging van de taken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algemene planningsprincipes, planningshulpmiddelen en uurramingen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dagboek der werken en de prestatiestaten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toleranties en uitvoeringsklassen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kostprijsbeheer en –raming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vergadertechnieken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verfproducten, muurbekledingsproducten en vloerbedekking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samenstelling van de producten en samenvoegingen van verven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kleurenanalyse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digitale presentatiemiddelen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kleurharmonie, stijl en trendadvies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stijlen (tijdperken, stromingen, ...) en huidige tendensen (kleuren,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comptabiliteit van de verfproducten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gebruikte verdunners, verharders, versnellers en reiningsmiddelen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berekeningsmethoden van hoeveelheden en verhoudingen, oppervlakten en inhouden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fysische en chemische verschijnselen i.v.m. gebouwen (porositeit, capillariteit, condensatie, salpeter, verzeping, alkaliteitsgraad, carbonisatie, chloride-indringing, corrosie, uitzetting en inkrimping van materialen, vorming van schimmels, mossen en houtziekten)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plaatsing en bevestigingsmethodes voor water-, lucht- en dampschermen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plaatsings- en uitvoeringstechnieken voor raamdecoratie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over de gebruikte verf-, muurbekledings- en vloerbekledingsproducten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gepast en efficiënt communiceren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over de voorbereiding en uitvoering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aan klanten en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efficiënt samenwerken met alle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werkopdracht volgens de planning en timing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zuinig omgaan met materialen, gereedschappen, tijd en vermijden van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zich houden aan de regels voor traceerbaarheid van producten en uitgevoerde werken door het bijhouden van de etiketten en markering van de gebruikte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voorschriften met betrekking tot netheid en hygiëne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gebruiken van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erop toezien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volgens de richtlijnen en vragen om informatie in geval van twijfel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efficiënt gebruiken van water voor taken en schoonmaak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duurzaam gebruiken van energiestromen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beperken van geluidshinder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erover waken dat de taken uitgevoerd worden door werknemers die een goede opleiding en goede instructies hebben gekregen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staat van de arbeidsmiddelen, collectieve en persoonlijke beschermingsmiddelen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steigerklasse en doen van een visuele controle van een rolsteiger voor ingebruikname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gebreken van vaste steigers en rolsteigers aan de "bevoegde persoon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verdelen van de taken in functie van de competenties en vaardigheden van de aangewezen ploegleden voor de voorbereidings-, toepassings- en afwerkingsfase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uitleggen van de werkprocedures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situeren van de uitvoeringsklasse van de staat van de ondergrond en het afwerkingsaspect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de correcte toepassing van de overeengekomen arbeidsprocedures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betrekken van de leden van de ploeg bij het zoeken naar oplossingen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stimuleren van de teamgeest en zin voor samenwerking bij de arbeiders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begeleiden van zijn ploeg bij de toepassing van bepaalde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BIM (Building Information Modeling) om informatie te delen met het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opmerken van opleidings- en ontwikkelingsbehoeftes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aard van de te behandelen ondergrond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fouten in de vlakheid op de vloeren, wanden en plafonds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opsporen van de overeenkomsten van de oppervlakken met de plannen en werkschetsen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aanvaarden van de verenigbaarheid van de voorgeschreven behandelingen met de oppervlaktetoestand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werkwijzes voor de voorbereidende behandelingen, de toepassing van verven en de plaatsing van soepele wand- en vloerbekledingen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tint in functie van de gewenste afwerkingskleur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goedkeuren van de materialen en producten op basis van de beschrijvingen en specificaties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van een bescherming van de niet-behandelde zones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invloed van de weersomstandigheden op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voorbereiden van de bestellingen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plannen, werktekeningen of werkopdrachten om te bepalen welke oppervlakken welke bekleding krijgen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opmeten op de bouwplaats, of berekenen op plan van de nodige hoeveelheden materiaal voor een bepaald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relevante software(systemen) voor stockbeheer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hoeveelheid te bestellen producten op de planning en de verwerkingssnelheden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verwerken van de gegevens van het verbruik van het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de logistiek  en stockbeheer van een showroom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chronologie van de werkzaamheden in functie van de overeengekomen prioriteiten, de tijd, de middelen en de andere werkzaamheden die moeten plaatsvinden of die bezig zijn op de werf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duur van bepaalde werkzaamheden in (voorbereiding, toepassing en plaatsing)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verdelen van de werkposten in functie van de beschikbaarheden en competenties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coördineren van de fases van de werkzaamheden met andere beroepstakken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vooruitgang en invullen van het dagboek der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overeenstemming van de uitvoering van de ondergronden en de toepassingen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opnemen van afmetingen, die controleren en die doorgeven aan de administratie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overeenstemming van de kleurtinten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oriënteren van de uitvoering van het werk  in functie van de gevraagde uitvoeringsklasse en de werksnelheid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deelnemen aan de werfvergaderingen, de technische overlegvergaderingen,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van de technische problemen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het dagboek der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en communiceren over de werkzaamheden (duur, hinder,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beheren van de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waarborgen van de netheid van de omgeving van de afwerkingswerf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op esthetisch vlak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op technisch vlak (vochtproblematiek,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voorstellen van een kleuradvies en kleurengamma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en plaatsen van raamdecoratie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en plaatsen van vloerbekleding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recycleren van gebruikte verven, verdunners, verharders, versnellers en verpakkingen en ander afval volgens de voorschriften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onvoorziene omstandigheden aan de verantwoordelijke en/of derden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kwalitatief en kwantitatief evalueren van zijn eigen werkzaamheden, en desnoods bijsturen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herkennen, voorkomen en beschermen tegen specifieke risico’s zoals gevaarlijke en schadelijke stoffen (cement en hulpstoffen, kwarts- en houtstof, asbesthoudende producten, …), lawaai, brand en explosies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vestigen van  de aandacht van de medewerkers op de veiligheidsregels als de situatie dat vereist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optreden wanneer een werknemer de veiligheidsregels niet in acht neemt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identificeren van de gevaren en analyseren van de risico’s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nemen van maatregelen als er gevaarlijke situaties opduiken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de oppervlaktetoestand van de te behandelen ondergronden: vochtigheidsgraad, alkaliteit, poedervorming, cohesie, zuurgehalte,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de voorschriften van het werfdossier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de planning bij onvoorziene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nemen van corrigerende maatregelen bij materiële tekortkomingen of uitvoeringsgebreken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zoeken van oplossingen voor de vastgestelde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analyseren van de ondergrond en  bepalen van de behandeling in functie van de toepassing (verf, behang, …)</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aannemen van een ergonomische werkhouding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rolsteigers, vaste steigers en hoogwerkers volgens de veiligheidsregels in veranderende weersomstandigheden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ladders volgens de veiligheidsregels als toegangsmiddel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beschermingsmiddelen (PBM’s en CBM’s) aangepast aan de werkomstandigheden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saneren van de schimmelproblemen in woningen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voorbereiden van de verf, te beschilderen of te decoreren oppervlakken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manuele schilderwerken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met een verfpistool van schilderwerken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imitaties en decoratief schilderwerk met effecten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gewapend, structuur- of veelkleurig schilderwerk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onderhouden en reinigen van het materiaal met de geschikte 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behandelen van metalen en houten oppervlakten met brandwerende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wandbekledingen, ornamenten en sierlijsten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bij bouwbedrijven (nieuwbouw en renovatie)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coördinator - adviseur decoratieve schilderwerken  is de centrale figuur op de afwerkingswerf en werkt nauw samen met verantwoordelijken (architect, projectleider, bouwheer, veiligheidscoördinator,…) ,uitvoerders (bouwarbeiders, onderaannemers,…) en de klant. Hij dient daarbij open te staan voor constructief overleg.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de werkopdrachten is sterk bepaald door reglementeringen en sociale wetgeving inzake kwaliteit, veiligheid, gezondheid, hygiëne, welzijn, milieu en duurzaam 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zijn vaak onderhevig aan wijzigingen door onvoorziene omstandigheden (weer, asbest, vertragingen,…)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coördinator - adviseur decoratieve schilderwerken  begeleidt de klant in het maken van keuzes en heeft een grote kennis van de producten, stijlen en trends.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coördinator - adviseur decoratieve schilderwerken  heeft vooral een coördinerende en controlerende rol. Dit vraagt organisatievermogen, sterke communicatievaardigheden en assertiviteit.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coördinator - adviseur decoratieve schilderwerken  dient zich flexibel en constructief op te stellen, inspelend op onvoorziene omstandigheden (weer, asbest, vertragingen,…)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coördinator - adviseur decoratieve schilderwerken  heeft speciale aandacht voor de reglementeringen en sociale wetgeving inzake kwaliteit, veiligheid, gezondheid, hygiëne, welzijn, milieu en duurzaam bouwen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coördinator - adviseur decoratieve schilderwerken  dient op constructieve wijze informatie uit te wisselen, vooral met architect, projectleider, bouwheer,…) , uitvoerders (bouwarbeiders, onderaannemers,…) en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administratieve opvolging van de werf vergt orde en nauwkeurigheid.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aansturen van zijn team op de werkvloer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en het inrichten van de afwerkingswerf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of er in veilige omstandigheden kan gewerkt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uitvoering en rapportering van de eigen werkzaamheden en die van zijn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uitvoering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en timing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gepast reageren op onverwachte gebeurtenissen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informeren en adviseren van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selecteren van de verf-, muurbekleding- en vloerbedekkingsproducten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deadlines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kwaliteits-,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leidinggevenden, collega’s en derden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leidinggevende en derden voor de werkopdracht, gegevens, planning, leveringen, melden van problemen en gevaarlijke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meer bevoegd persoon indien hij een probleem niet opgelost krijgt of te maken krijgt met werkzaamheden die buiten zijn bevoegdheid vallen.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kwaliteit van decoratieve schilderwerken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aansturen van de teams op de 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waarborgen van de veiligheid van de werknemers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voorafgaand analyseren van een afwerkingswerf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een afwerkingswerf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werflogistiek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een afwerkingswerf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de afwerkingswerf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adviseren van de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schilder-, vloerbedekking – en decoratiewerken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 wettelijk verplichte attesten nodig maar voor de praktijkuitoefening van bepaalde werkzaamheden en/of risicovolle taken zijn bepaalde attesten en/of certificaten vereist, zoals VCA, …</w:t>
      </w:r>
      <w:r>
        <w:br/>
      </w:r>
      <w:r>
        <w:t>Het is steeds aangeraden de vigerende wetgeving te raadplegen, daar deze onderhevig kan zijn aan veranderingen.</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lastRenderedPageBreak/>
        <w:t>Geen vereisten.</w:t>
      </w:r>
    </w:p>
    <w:p w:rsidR="00423F38" w:rsidRPr="008539AC" w:rsidRDefault="008539AC" w:rsidP="008539AC">
      <w:pPr>
        <w:spacing w:after="0" w:line="240" w:lineRule="auto"/>
      </w:pPr>
      <w:r w:rsidRPr="00032DDA">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