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Chef-monteur steigerbouw</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BK-0308-2</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Chef-monteur steigerbouw</w:t>
      </w:r>
    </w:p>
    <w:p w14:paraId="3063163E" w14:textId="77777777" w:rsidR="003B07E1" w:rsidRDefault="003B07E1" w:rsidP="003B07E1">
      <w:pPr>
        <w:spacing w:after="0" w:line="240" w:lineRule="auto"/>
      </w:pPr>
      <w:r w:rsidRPr="002E7489">
        <w:rPr>
          <w:color w:val="FF0000"/>
        </w:rPr>
        <w:t/>
      </w:r>
    </w:p>
    <w:p w14:paraId="64590DFB" w14:textId="77777777" w:rsidR="003B07E1" w:rsidRDefault="003B07E1" w:rsidP="003B07E1">
      <w:pPr>
        <w:spacing w:after="0" w:line="240" w:lineRule="auto"/>
      </w:pPr>
      <w:r>
        <w:t>Deze benaming wordt gebruikt in het beroepscompetentieprofiel van Constructiv. Deze benaming wordt algemeen gebruikt door de sector. De Competentfiche van SERV (I150302) omschrijft enkel het werkgebied van de ‘Stellingbouw’. De Competentfiche geeft ook benamingen aan zoals ‘Chef monteur stellingbouw’, ‘Monteur van steigers’, ‘Monteur stellingbouw’, ‘Steigermonteur’, ‘Stellingmonteur’, ‘Stellingbouwer’ of ‘Teamleider stellingbouw’. </w:t>
      </w:r>
      <w:r>
        <w:br/>
      </w:r>
      <w:r>
        <w:t/>
      </w:r>
      <w:r>
        <w:br/>
      </w:r>
      <w:r>
        <w:t>Steigerbouwer en stellingbouwer zijn echter overkoepelende benamingen. Bij de steigerbouwers kunnen we meerdere beroepskwalificaties identificeren. Deze onderverdeling is gebaseerd op bijkomende competenties in het (de)monteren van steigers van steeds complexere aard en activiteiten zoals het keuren, vrijgeven van steigers van diverse complexiteit, het aansturen van teamleden en het communiceren met klanten en opdrachtgevers. </w:t>
      </w:r>
    </w:p>
    <w:p w14:paraId="477A3EA2"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chef-monteur steigerbouw monteert, demonteert, bouwt om en herstelt zowel steigers met standaardconfiguraties als steigers met complexe configuratie en geeft leiding aan de hulpmonteurs en monteurs volgens de gangbare veiligheidsregels enerzijds, en keurt steigerconstructies met standaardconfiguratie, voert een gebruikersinspectie uit en geeft deze vrij anderzijds teneinde veilige steigerconstructies te realiseren.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in teamverband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Ontvangt en begrijpt de werkopdracht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uitvoering en afwerking van de opdracht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montage-, demontage- of ombouwschema van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benoemt en beschrijft gebruikelijke steigertypes en steigertoepassingen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Duidt met gebaren de gebruikelijke steigeronderdelen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steigertekeningen / schema’s voor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materiaalspecificaties voor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voorwaarden inzake toelaatbare belasting van de betrokken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onderdelen van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gangbare gebaren om de gebruikelijke steigeronderdelen mee aan te duiden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informatie/richtlijnen en gebruiksaanwijzingen door de fabrikant/steigerbouwer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types steigers en hun toepassingen (gevelsteigers, volumesteigers, hangsteigers, uitbouwsteigers, uitsteeksteigers, verrijdbare steigers, takelsteigers, ondersteuningen, verhijsbare steigers, overkappingen en tentconstructies)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begrippen ‘sterkte’, ‘stijfheid’ en ‘stabiliteit’, en het belang daarvan voor een steigerconstructie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maximale fysieke belasting van de steiger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Werkt met oog voor veiligheid, milieu, kwaliteit en welzijn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neemt gepaste maatregelen bij ongelukken en meldt ongevallen en incidenten volgens interne procedures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 en vraagt om informatie in geval van twijfel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een ergonomische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onderhoudt persoonlijke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energiestromen duurzaam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geluidshinder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een geoptimaliseerd verbruik van water, materialen en energie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rond afval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handgereedschap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veiligheids-, gezondheids-, hygiëne-, milieu- en welzijnsvoorschriften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specifieke risico’s van gevaarlijke en schadelijke stoffen, elektriciteit, lawaai, trillingen, brand, explosies,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 (soorten, verplichtingen, afkeurstandaarden, onderhouds- en reinigingsvoorschriften,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Organiseert zijn werkplek veilig en ordelijk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signalisatie en brengt waarschuwingstekens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collectieve beschermingsmiddelen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bouwplaatsorganisatie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signalisatievoorschriften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Gebruikt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gebruiken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voor 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reinigt de machines en gereedschappen na gebruik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werking en veiligheidsaspecten van gebruikte machines en gereedschappen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elektriciteit i.f.v. werkzaamheden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Werkt op hoogte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de veiligheidsregels als toegangsmiddel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steigers volgens de instructies en veiligheidsregels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 (soorten, verplichtingen, afkeurstandaarden, onderhouds- en reinigingsvoorschriften,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voor het veilig werken op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maatregelen ter preventie van het vallen van personen en voorwerpen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voorwaarden om een steiger te betreden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Gebruikt de op het eigen werkgebied van toepassing zijnde arbeidsmiddelen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controleert de arbeidsmiddelen die hij bij de uitoefening van het beroep mag gebruiken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verschillende arbeidsmiddelen die bij de uitoefening van het eigen beroep van toepassing zijn en gebruikt mogen worden, volgens de gebruikshandleiding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de arbeidsmiddelen en reinigt deze na gebruik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arbeidsmiddelen die bij de uitoefening van het beroep van toepassing zijn en gebruikt mogen worden zonder attesten of certificaten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arbeidsmiddelen die bij de uitoefening van het beroep van toepassing zijn en waarvoor attesten of certificaten vereist zijn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Geeft de leiding en communiceert over de steigerbouw aan de hulpmonteurs en monteurs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montage-, demontage- of ombouwschema van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montage-, demontage- of ombouwschema van een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effectief en efficiënt informatie over de werkopdracht uit met hulpmonteurs en monteurs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benoemt en beschrijft gebruikelijke steigertypes en steigertoepassingen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en vult steigertekeningen en schema's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Duidt met gebaren de gebruikelijke steigeronderdelen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instructies aan de hulpmonteurs en monteurs tijdens de steigerbouw</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werkzaamheden tijdens de steigerbouw en stuurt desnoods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organisatie van de werkplek en stuurt desnoods bij</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steigertekeningen / schema’s voor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materiaalspecificaties voor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bouwplaatsorganisatie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onderdelen van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gangbare gebaren om de gebruikelijke steigeronderdelen mee aan te duiden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informatie/richtlijnen en gebruiksaanwijzingen door de fabrikant/steigerbouwer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types steigers en hun toepassingen (gevelsteigers, volumesteigers, hangsteigers, uitbouwsteigers, uitsteeksteigers, verrijdbare steigers, takelsteigers, ondersteuningen, verhijsbare steigers, overkappingen en tentconstructies)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bevoegdheden van de betrokkenen bij gebruik en montage van een steiger (bevoegd persoon gebruik en montage: hulpmonteur - monteur - chef-monteur - steigerkeurder - steigerinspecteur)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voorwaarden inzake toelaatbare belasting van de betrokken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begrippen ‘sterkte’, ‘stijfheid’ en ‘stabiliteit’, en het belang daarvan voor een steigerconstructie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maximale fysieke belasting van de steiger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Voert een Taak Risico Analyse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de werkzaamheden onder in logische activiteiten en schrijft een chronologische volgorde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per activiteit de denkbare en reële risico’s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voor elk risico beheersmaatregelen vast om het risico te elimineren of beheersbaar te maken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beheersmaatregelen aanwezig zijn voorafgaand aan uit te voeren taken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voorafgaand de afspraken vastgelegd in de Taak Risico Analyse met de betrokken medewerkers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afspraken vastgelegd in de Taak Risico Analyse worden uitgevoerd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na het afronden van de werkzaamheden de Taak Risico Analyse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wetgeving, regelgeving, procedures en aansprakelijkheden die van toepassing zijn op gebied van steigerbouw en ladders (ARAB – Codex – KB 31.08.2005 – Europese en Belgische normen)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Taak Risico Analyse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Beoordeelt het meest voorkomende steigermateriaal kwalitatief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Keurt het meest voorkomende steigermateriaal aan de hand van afkeurmaatstaven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afkeurcriteria bij de controle van steigeronderdelen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Stelt een materiaalstaat op voor alle voorkomende steigers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materiaalstaat op aan de hand van een steigertekening/-schema voor alle voorkomende steigers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materiaalstaat in aan de hand van een steigertekening/-schema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inschatting van het benodigde materiaal voor de nog resterende werkzaamheden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materiaalspecificaties voor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materiaalstaten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Monteert, demonteert en bouwt alle voorkomende steigers veilig om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voor de veilige (de)montage van steigers met complexe configuratie toe met de gepaste methodes en hulpmiddelen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steigers met complexe configuratie volgens de juiste 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nodig, steigers met complexe configuratie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of alle voorkomende steigers gereed zijn voor keuring en overdracht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steigers met complexe configuratie volgens de juiste volgorde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Grondige kennis van de verschillende gebruikelijke steigeronderdelen en hun functie/toepassing voor zowel systeemsteigers als universeel materiaal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mogelijke risico’s bij het (de)monteren en aanpassen van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principes en de juiste volgorde bij (de)montage / aanpassen van alle voorkomende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veilige (de)montage van alle voorkomende steigers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Herstelt of brengt alle voorkomende onveilige steigers terug in veilige staat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benoemt een onveilige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vuistregels voor de sterkte, de stijfheid en de stabiliteit van te bouwen steigers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onveilige steiger met complexe configuratie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wanneer een steiger met complexe configuratie terug in veilige staat hersteld is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vuistregels van sterkte, stijfheid en stabiliteit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externe factoren en situaties die de veiligheid van alle voorkomende steigers in het gedrang brengen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mogelijke risico’s bij het (de)monteren en aanpassen van alle voorkomende steigers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Beoordeelt en keurt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checklist voor keuring van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toepassing van maatregelen tegen het vallen van voorwerpen en personen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toepassing van veiligheidsmaatregelen om de risico’s te beheersen bij veranderende weersomstandigheden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het eigen gewicht van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naleving van voorwaarden inzake toelaatbare belasting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na of de gebouwde steiger voldoet aan de informatie en richtlijnen die door de fabrikant/steigerbouwer ter beschikking werden gesteld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stabiliteit van de steiger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en beoordeelt de toelaatbare belastingen op de werkvloer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beveiligingen tegen kantelen en instorten na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na of de verankering correct is aangebracht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staat van onderdelen na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na of vloeren, leuningen en kantplanken voldoende en correct zijn aangebracht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na of de toegang tot de steiger en de doorgangen op en doorheen de steigers veilig zijn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nodige PBM’s tijdens de keuring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bij oplevering en keuring vastgestelde onvolkomenheden van een steiger met standaardconfiguratie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verplichtingen van werkgevers en werknemers, de afkeurstandaarden bij visuele controle, de onderhouds- en reinigingsvoorschriften en het correcte gebruik van de verplichte PBM’s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principes van observatie en keuring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belangrijkste aandachtspunten bij het keuren van de stabiliteit (ondergrond, steunpunten, vloerplaten, spindels, waterpas)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belangrijkste aandachtspunten bij het nakijken van toegangen (ladders en trappen) en doorgangen (breedte en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mogelijke specifieke eisen van klanten (bv. signalisatie, aarding en hoe deze aangebracht moet zijn)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types belastingen (gelijkmatig, geconcentreerd of puntbelasting) op een werkvloer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aandachtspunten bij controle van de verankering van een steiger (verankering met of zonder ballast, het rekening houden met statische, dynamische en windbelasting en veiligheidscoëfficiënten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maximale belasting (type steiger), met aandacht voor het aantal operationelen/betreders, werkzaamheden, materiaal en transport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informatie/richtlijnen en gebruiksaanwijzingen door de fabrikant/steigerbouwer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verschillende gebruikelijke steigeronderdelen en hun functie/toepassing voor zowel systeemsteigers als universeel materiaal</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Draagt, na keuring, steigers met standaardconfiguratie over aan de opdrachtgever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opleverings-controlelijst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steigerkaart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opleveringsprocedure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steigerkaart procedure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16:</w:t>
      </w:r>
    </w:p>
    <w:p w14:paraId="7C1D13F1" w14:textId="77777777" w:rsidR="002C5C20" w:rsidRPr="00A4228D" w:rsidRDefault="002C5C20" w:rsidP="004B60A1">
      <w:pPr>
        <w:spacing w:after="0" w:line="240" w:lineRule="auto"/>
      </w:pPr>
      <w:r w:rsidRPr="004B60A1">
        <w:rPr>
          <w:rFonts w:cstheme="minorHAnsi"/>
        </w:rPr>
        <w:t>Voert een (her)keuring van steigers met standaardconfiguratie uit op verzoek van de klant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(her)keuring van steigers met standaardconfiguratie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inspectielijst voor steigers met standaardconfiguratie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inspectieprocedures voor een steiger met een standaardconfiguratie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17:</w:t>
      </w:r>
    </w:p>
    <w:p w14:paraId="7C1D13F1" w14:textId="77777777" w:rsidR="002C5C20" w:rsidRPr="00A4228D" w:rsidRDefault="002C5C20" w:rsidP="004B60A1">
      <w:pPr>
        <w:spacing w:after="0" w:line="240" w:lineRule="auto"/>
      </w:pPr>
      <w:r w:rsidRPr="004B60A1">
        <w:rPr>
          <w:rFonts w:cstheme="minorHAnsi"/>
        </w:rPr>
        <w:t>Rapporteert aan en communiceert met voorman en werfleider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principes van projectmatig werk en administratieve processen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situaties waarin afgeweken wordt van de uitgangspunten van het project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en rapporteert over werkprocessen en verloop van het project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opleveringsprocedure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overdrachtprocedures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projectbewaking/administratie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basisprocedures van het werkproces en projectmatig werken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communicatieprocedures binnen de hiërarchie van de organisatie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teken- en berekenprocedures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werkvergunningsprocedures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verplichtingen van werkgevers en werknemers, de afkeurstandaarden bij visuele controle, de onderhouds- en reinigingsvoorschriften en het correcte gebruik van de verplichte PBM’s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afkeurcriteria bij de controle van steigeronderdelen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vuistregels van sterkte, stijfheid en stabiliteit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regelgeving, procedures en aansprakelijkheden die van toepassing zijn op gebied van steigerbouw en ladders (ARAB – Codex – KB 31.08.2005 – Europese en Belgische normen)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Taak Risico Analyse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steigertekeningen / schema’s voor alle voorkomende steigers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materiaalspecificaties voor alle voorkomende steigers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materiaalstaten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observatie en keuring van een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belangrijkste aandachtspunten bij het keuren van de stabiliteit (ondergrond, steunpunten, vloerplaten, spindels, waterpas)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belangrijkste aandachtspunten bij het nakijken van toegangen (ladders en trappen) en doorgangen (breedte en hoogte)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mogelijke specifieke eisen van klanten (bv. signalisatie, aarding en hoe deze aangebracht moet zijn)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belastingen (gelijkmatig, geconcentreerd of puntbelasting) op een werkvloer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aandachtspunten bij controle van de verankering van een steiger (verankering met of zonder ballast, het rekening houden met statische, dynamische en windbelasting en veiligheidscoëfficiënten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inzake toelaatbare belasting van de betrokken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maximale belasting (type steiger), met aandacht voor het aantal operationelen/betreders, werkzaamheden, materiaal en transport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van water, materialen en energie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handgereedschap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milieu- en welzijnsvoorschriften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gevaarlijke en schadelijke stoffen, elektriciteit, lawaai, trillingen, brand, explosies,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 (soorten, verplichtingen, afkeurstandaarden, onderhouds- en reinigingsvoorschriften,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onderdelen van steigers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gangbare gebaren om de gebruikelijke steigeronderdelen mee aan te duiden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informatie/richtlijnen en gebruiksaanwijzingen door de fabrikant/steigerbouwer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types steigers en hun toepassingen (gevelsteigers, volumesteigers, hangsteigers, uitbouwsteigers, uitsteeksteigers, verrijdbare steigers, takelsteigers, ondersteuningen, verhijsbare steigers, overkappingen en tentconstructies)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externe factoren en situaties die de veiligheid van alle voorkomende steigers in het gedrang brengen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het veilig werken op hoogte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maatregelen ter preventie van het vallen van personen en voorwerpen van een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om een steiger te betreden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en veiligheidsaspecten van gebruikte machines en gereedschappen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i.f.v.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arbeidsmiddelen die bij de uitoefening van het beroep van toepassing zijn en gebruikt mogen worden zonder attesten of certificaten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arbeidsmiddelen die bij de uitoefening van het beroep van toepassing zijn en waarvoor attesten of certificaten vereist zijn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opleveringsprocedure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overdrachtprocedures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steigerkaart procedure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inspectieprocedures voor een steiger met een standaardconfiguratie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projectbewaking/administratie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basisprocedures van het werkproces en projectmatig werken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communicatieprocedures binnen de hiërarchie van de organisatie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teken- en berekenprocedures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werkvergunningsprocedures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bevoegdheden van de betrokkenen bij gebruik en montage van een steiger (bevoegd persoon gebruik en montage: hulpmonteur - monteur - chef-monteur - steigerkeurder - steigerinspecteur)</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voorwaarden inzake toelaatbare belasting van de betrokken steiger</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gebruikelijke steigeronderdelen en hun functie/toepassing voor zowel systeemsteigers als universeel materiaal</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mogelijke risico’s bij het (de)monteren en aanpassen van alle voorkomende steigers</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principes en de juiste volgorde bij (de)montage / aanpassen van alle voorkomende steigers</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begrippen ‘sterkte’, ‘stijfheid’ en ‘stabiliteit’, en het belang daarvan voor een steigerconstructie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maximale fysieke belasting van de steiger</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veilige (de)montage van alle voorkomende steigers</w:t>
      </w:r>
      <w:r w:rsidRPr="00127D6A">
        <w:rPr>
          <w:rFonts w:cstheme="minorHAnsi"/>
          <w:color w:val="FF0000"/>
        </w:rPr>
        <w:t/>
      </w:r>
    </w:p>
    <w:p w14:paraId="5E436A55" w14:textId="77777777" w:rsidR="00350A3E" w:rsidRPr="00C8688E" w:rsidRDefault="00350A3E" w:rsidP="00350A3E">
      <w:pPr>
        <w:spacing w:after="0" w:line="240" w:lineRule="auto"/>
        <w:rPr>
          <w:rFonts w:cstheme="minorHAnsi"/>
        </w:rPr>
      </w:pPr>
      <w:r w:rsidRPr="00667AD5">
        <w:rPr>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uitvoering en afwerking van de opdracht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begrijpt montage-, demontage- of ombouwschema van een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benoemt en beschrijft gebruikelijke steigertypes en steigertoepassingen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Duidt met gebaren de gebruikelijke steigeronderdelen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en onderhoudt persoonlijke beschermingsmiddelen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te gebruiken machines en gereedschappen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voor 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en controleert de arbeidsmiddelen die hij bij de uitoefening van het beroep mag gebruiken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begrijpt montage-, demontage- of ombouwschema van een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begrijpt montage-, demontage- of ombouwschema van een steiger met complexe 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effectief en efficiënt informatie over de werkopdracht uit met hulpmonteurs en monteurs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benoemt en beschrijft gebruikelijke steigertypes en steigertoepassingen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en vult steigertekeningen en schema's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Duidt met gebaren de gebruikelijke steigeronderdelen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instructies aan de hulpmonteurs en monteurs tijdens de steigerbouw</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Verdeelt de werkzaamheden onder in logische activiteiten en schrijft een chronologische volgorde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Bepaalt per activiteit de denkbare en reële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voor elk risico beheersmaatregelen vast om het risico te elimineren of beheersbaar te maken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Zorgt dat beheersmaatregelen aanwezig zijn voorafgaand aan uit te voeren taken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Bespreekt voorafgaand de afspraken vastgelegd in de Taak Risico Analyse met de betrokken medewerkers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of de afspraken vastgelegd in de Taak Risico Analyse worden uitgevoerd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Evalueert na het afronden van de werkzaamheden de Taak Risico Analyse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Keurt het meest voorkomende steigermateriaal aan de hand van afkeurmaatstaven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een materiaalstaat op aan de hand van een steigertekening/-schema voor alle voorkomende steigers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een materiaalstaat in aan de hand van een steigertekening/-schema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een inschatting van het benodigde materiaal voor de nog resterende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principes voor de veilige (de)montage van steigers met complexe configuratie toe met de gepaste methodes en hulpmiddelen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of alle voorkomende steigers gereed zijn voor keuring en overdracht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en benoemt een onveilige steiger met complexe 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vuistregels voor de sterkte, de stijfheid en de stabiliteit van te bouwen steigers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wanneer een steiger met complexe configuratie terug in veilige staat hersteld is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checklist voor keuring van een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toepassing van maatregelen tegen het vallen van voorwerpen en personen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toepassing van veiligheidsmaatregelen om de risico’s te beheersen bij veranderende weersomstandigheden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Berekent het eigen gewicht van een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naleving van voorwaarden inzake toelaatbare belasting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Kijkt na of de gebouwde steiger voldoet aan de informatie en richtlijnen die door de fabrikant/steigerbouwer ter beschikking werden gesteld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de stabiliteit van de steiger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Bepaalt en beoordeelt de toelaatbare belastingen op de werkvloer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Kijkt de beveiligingen tegen kantelen en instorten na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Kijkt na of de verankering correct is aangebracht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Kijkt de staat van onderdelen na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Kijkt na of vloeren, leuningen en kantplanken voldoende en correct zijn aangebracht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Kijkt na of de toegang tot de steiger en de doorgangen op en doorheen de steigers veilig zijn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bij oplevering en keuring vastgestelde onvolkomenheden van een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een opleverings-controlelijst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de steigerkaart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een (her)keuring van steigers met standaardconfiguratie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een inspectielijst voor steigers met standaardconfiguratie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principes van projectmatig werk en administratieve processen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situaties waarin afgeweken wordt van de uitgangspunten van het project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en rapporteert over werkprocessen en verloop van het project</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en signaleert gevaarlijke situaties, neemt gepaste maatregelen bij ongelukken en meldt ongevallen en incidenten volgens interne procedures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toe op de werkzaamheden tijdens de steigerbouw en stuurt desnoods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toe op de organisatie van de werkplek en stuurt desnoods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indien nodig, steigers met complexe configuratie aan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een onveilige steiger met complexe configuratie aan</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 en vraagt om informatie in geval van twijfel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op een ergonomische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energiestromen duurzaam</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geluidshinder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signalisatie en brengt waarschuwingstekens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reinigt de machines en gereedschappen na gebruik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volgens de veiligheidsregels als toegangsmiddel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steigers volgens de instructies en veiligheidsregels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beschermingsmiddelen (PBM’s en CBM’s) aangepast aan de werkomstandigheden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verschillende arbeidsmiddelen die bij de uitoefening van het eigen beroep van toepassing zijn en gebruikt mogen worden, volgens de gebruikshandleiding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de arbeidsmiddelen en reinigt deze na gebruik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steigers met complexe configuratie volgens de juiste 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steigers met complexe configuratie volgens de juiste 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nodige PBM’s tijdens de keuring</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open of gesloten gebouwen die bewoond of in gebruik kunnen zijn.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klimatologische omstandigheden en risico’s.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veiligheidseisen, door met zorg, precisie, toewijding en respect voor de veiligheidsprocedures te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collega’s.</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veiligheidsprocedures en de signalisatie op de bouwplaats respecteren en PBM’s en CBM’s met zorg plaatsen, gebruiken en onderhouden.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steigermateriaal, rekening houdend met veiligheids-, plaatsingsvoorschriften.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plannen en voorbereiden van de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bepalen van de werkvolgorde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controleren van PBM’s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visueel beoordelen van steigermateriaal</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steigertekeningen en schema’s van  alle voorkomende steigers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materiaalstaten van alle voorkomende steigers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monteren, demonteren en ombouwen van alle voorkomende steigers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keuren van steigers met standaardconfiguratie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leiding geven en toezicht houden op een team van (hulp)monteurs</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kwaliteits- en milieuvoorschriften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codes van goede praktijk</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wettelijke en technische 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gezondheidsinstructies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derden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de leidinggevende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die voorkomen in het montage- demontage- en ombouwschema</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instructienota opgesteld door de bevoegd persoon*</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leidinggevende voor de werkopdracht en bij problemen (gevaarlijke en/of onveilige situaties, …).</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en begrijpt de werkopdracht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de op het eigen werkgebied van toepassing zijnde arbeidsmiddelen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de leiding en communiceert over de steigerbouw aan de hulpmonteurs en monteurs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Taak Risico Analyse uit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Beoordeelt het meest voorkomende steigermateriaal kwalitatief</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een materiaalstaat op voor alle voorkomende steigers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demonteert en bouwt alle voorkomende steigers veilig om</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Herstelt of brengt alle voorkomende onveilige steigers terug in veilige staat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Beoordeelt en keurt een steiger met standaardconfiguratie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na keuring, steigers met standaardconfiguratie over aan de opdrachtgever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(her)keuring van steigers met standaardconfiguratie uit op verzoek van de klant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Rapporteert aan en communiceert met voorman en werfleider</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14:paraId="2C6D9DD9" w14:textId="77777777" w:rsidR="008539AC" w:rsidRPr="006910EC" w:rsidRDefault="008539AC" w:rsidP="008539AC">
      <w:pPr>
        <w:pStyle w:val="Titel3"/>
        <w:rPr>
          <w:b w:val="0"/>
          <w:sz w:val="22"/>
        </w:rPr>
      </w:pPr>
      <w:r>
        <w:t>Wettelijke attesten</w:t>
      </w:r>
    </w:p>
    <w:p w14:paraId="044D67FA" w14:textId="77777777" w:rsidR="008539AC" w:rsidRDefault="008539AC" w:rsidP="008539AC">
      <w:pPr>
        <w:spacing w:after="0" w:line="240" w:lineRule="auto"/>
      </w:pPr>
      <w:r>
        <w:t>Geen vereisten.</w:t>
      </w:r>
    </w:p>
    <w:p w14:paraId="289A82A4" w14:textId="77777777" w:rsidR="008539AC" w:rsidRDefault="008539AC" w:rsidP="008539AC">
      <w:pPr>
        <w:spacing w:after="0" w:line="240" w:lineRule="auto"/>
      </w:pPr>
    </w:p>
    <w:p w14:paraId="4A92967C" w14:textId="77777777" w:rsidR="008539AC" w:rsidRDefault="008539AC" w:rsidP="008539AC">
      <w:pPr>
        <w:pStyle w:val="Titel3"/>
      </w:pPr>
      <w:r>
        <w:t>Vereiste attesten</w:t>
      </w:r>
    </w:p>
    <w:p w14:paraId="74A3E2C5" w14:textId="77777777" w:rsidR="008539AC" w:rsidRDefault="008539AC" w:rsidP="008539AC">
      <w:pPr>
        <w:spacing w:after="0" w:line="240" w:lineRule="auto"/>
      </w:pPr>
      <w:r>
        <w:t>Voor het uitoefenen van bepaalde werkzaamheden en/of risicovolle taken zijn bepaalde attesten en/of certificaten vereist, zoals VCA, … </w:t>
      </w:r>
      <w:r>
        <w:br/>
      </w:r>
      <w:r>
        <w:t>De vereisten zoals gesteld in het KB van 31/08/2005 aan de personen die gebruik maken van arbeidsmiddelen voor tijdelijke werkzaamheden op hoogte zijn in deze beroepskwalificatie opgenomen. Chef-monteurs staan in voor de montage, demontage en ombouw van alle voorkomende steigers. Ze moeten dus voldoen aan de vereisten uit artikel 18, §2 van dit KB.</w:t>
      </w:r>
      <w:r>
        <w:br/>
      </w:r>
      <w:r>
        <w:t>In het beroepscompetentieprofiel Steigerbouwer van fvb-constructiv wordt voorgeschreven dat het opleveren en controleren van steigers met standaardconfiguratie wordt gedaan door iemand van minstens 18 jaar.   </w:t>
      </w:r>
      <w:r>
        <w:br/>
      </w:r>
      <w:r>
        <w:t>Het is steeds aangeraden de vigerende wetgeving te raadplegen, daar deze onderhevig kan zijn aan veranderingen.</w:t>
      </w:r>
    </w:p>
    <w:p w14:paraId="4E3F8398" w14:textId="77777777" w:rsidR="008539AC" w:rsidRDefault="008539AC" w:rsidP="008539AC">
      <w:pPr>
        <w:spacing w:after="0" w:line="240" w:lineRule="auto"/>
      </w:pPr>
    </w:p>
    <w:p w14:paraId="75A84AF0" w14:textId="77777777" w:rsidR="008539AC" w:rsidRDefault="008539AC" w:rsidP="008539AC">
      <w:pPr>
        <w:pStyle w:val="Titel3"/>
      </w:pPr>
      <w:r>
        <w:t>Instapvoorwaarden</w:t>
      </w:r>
    </w:p>
    <w:p w14:paraId="544FC888" w14:textId="77777777" w:rsidR="008539AC" w:rsidRDefault="008539AC" w:rsidP="008539AC">
      <w:pPr>
        <w:spacing w:after="0" w:line="240" w:lineRule="auto"/>
      </w:pPr>
      <w:r>
        <w:t>Geen vereisten.</w:t>
      </w:r>
    </w:p>
    <w:p w14:paraId="13CCE040" w14:textId="77777777" w:rsidR="00423F38" w:rsidRPr="008539AC" w:rsidRDefault="008539AC" w:rsidP="008539AC">
      <w:pPr>
        <w:spacing w:after="0" w:line="240" w:lineRule="auto"/>
      </w:pPr>
      <w:r w:rsidRPr="00032DDA">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