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Audioloog</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BK-0312-2</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Audioloog</w:t>
      </w:r>
    </w:p>
    <w:p w14:paraId="3063163E" w14:textId="77777777" w:rsidR="003B07E1" w:rsidRDefault="003B07E1" w:rsidP="003B07E1">
      <w:pPr>
        <w:spacing w:after="0" w:line="240" w:lineRule="auto"/>
      </w:pPr>
      <w:r w:rsidRPr="002E7489">
        <w:rPr>
          <w:color w:val="FF0000"/>
        </w:rPr>
        <w:t/>
      </w:r>
    </w:p>
    <w:p w14:paraId="64590DFB" w14:textId="77777777" w:rsidR="003B07E1" w:rsidRDefault="003B07E1" w:rsidP="003B07E1">
      <w:pPr>
        <w:spacing w:after="0" w:line="240" w:lineRule="auto"/>
      </w:pPr>
      <w:r>
        <w:t>Deze benaming komt voor in de Competent fiche "J140101 Audiologie en audiologische apparatuur"</w:t>
      </w:r>
    </w:p>
    <w:p w14:paraId="477A3EA2"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De audioloog is gespecialiseerd in preventie, screening en diagnostisch onderzoek van de auditieve, vestibulaire en otoneurologische functies en in de revalidatie van het gehoor en het evenwicht teneinde de auditieve en vestibulaire functies te beschermen en/of te verbeteren.</w:t>
      </w:r>
    </w:p>
    <w:p w14:paraId="44ABFA8D" w14:textId="77777777" w:rsidR="0090339C" w:rsidRPr="00BA35EA" w:rsidRDefault="0090339C" w:rsidP="0090339C">
      <w:pPr>
        <w:spacing w:after="0" w:line="240" w:lineRule="auto"/>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6</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2021</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Audiologisch onderzoek</w:t>
      </w:r>
    </w:p>
    <w:p w14:paraId="61ECF80C" w14:textId="77777777" w:rsidR="002C5C20" w:rsidRPr="00846EF0" w:rsidRDefault="002C5C20" w:rsidP="002C5C20">
      <w:pPr>
        <w:spacing w:after="0" w:line="240" w:lineRule="auto"/>
        <w:rPr>
          <w:lang w:val="en-US"/>
        </w:rPr>
      </w:pPr>
      <w:r w:rsidRPr="00846EF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Bepaalt de vragen en de noden van de zorgvrager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intakegesprek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anamnesegegevens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Betrekt de omgeving van de zorgvrager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en adviseert de zorgvrager</w:t>
      </w:r>
    </w:p>
    <w:p w14:paraId="5E71E31E" w14:textId="77777777" w:rsidR="000F2A0A" w:rsidRPr="006E4AD8" w:rsidRDefault="002C5C20" w:rsidP="002C5C20">
      <w:pPr>
        <w:pStyle w:val="Voetnoot"/>
        <w:rPr>
          <w:lang w:val="en-US"/>
        </w:rPr>
      </w:pPr>
      <w:r w:rsidRPr="006E4AD8">
        <w:rPr>
          <w:lang w:val="en-US"/>
        </w:rPr>
        <w:t/>
      </w:r>
      <w:r w:rsidRPr="006E4AD8">
        <w:rPr>
          <w:lang w:val="en-US"/>
        </w:rPr>
        <w:br/>
        <w:t>* Zorgvrager: is in dit dossier een algemene term om de verschillende personen (patiënt, mantelzorger, cliënt, kind en/of ouders, bewoner, wettelijke vertegenwoordiger, familie, sociaal netwerk, …) en/of groepen (organisatie, doelgroep…) die een hulpvraag/-behoefte hebben te benoemen</w:t>
      </w:r>
      <w:r w:rsidRPr="006E4AD8">
        <w:rPr>
          <w:lang w:val="en-US"/>
        </w:rPr>
        <w:b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begeleiding van de zorgvrager en zijn omgeving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hygiëne- en ontsmettingsregels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anamnesegesprek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intakegesprek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fonetiek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neuro- en psycholinguïstiek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Nederlandse taal om ze op deskundige wijze te kunnen hanteren in het kader van het beroep en dit zowel mondeling als schriftelijk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anatomie en fysiologie van het otovestibulair systeem en de bovenste luchtwegen met inbegrip van begrippen van allergologie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pathologie van het otovestibulair systeem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psychologie en psychopathologie van de persoon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gehoorontwikkeling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communicatieve en sociale vaardigheden aangepast aan personen met een auditieve beperking en/of complexe noden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Past de werkwijze en de onderzoeksmethoden aan de zorgvrager aan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Kan flexibel inspelen op de mentale en fysieke toestand van de zorgvrager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taalgebruik aan de zorgvrager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werkwijze af op de zorgvrager</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ontwikkelingspsychologie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linguïstiek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ontwikkelingsstoornissen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geriatrie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gerontologie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begeleiding van de zorgvrager en zijn omgeving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ethiek en deontologie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wetgeving aangaande het beroep (WUG, wetgeving aangaande het beroep, rechten van de patiënt,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psychologie en psychopathologie van de persoon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communicatiewijzen van personen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communicatieve en sociale vaardigheden aangepast aan personen met een auditieve beperking en/of complexe noden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taal- en spraakontwikkeling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Voert kwantitatieve en kwalitatieve onderzoeken*  uit ter evaluatie van de auditieve en/of otoneurologische en/of vestibulaire functies van het gehoor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de onderzoeksapparatuur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Staat in voor de regelmatige ijking van de onderzoeksapparatuur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otoscopie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geschikte onderzoeksmethoden ter evaluatie van de auditieve en/of otoneurologische en/of vestibulaire functies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kwantitatieve en kwalitatieve onderzoeken uit volgens procedure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onderzoeksresultaten</w:t>
      </w:r>
    </w:p>
    <w:p w14:paraId="5E71E31E" w14:textId="77777777" w:rsidR="000F2A0A" w:rsidRPr="006E4AD8" w:rsidRDefault="002C5C20" w:rsidP="002C5C20">
      <w:pPr>
        <w:pStyle w:val="Voetnoot"/>
        <w:rPr>
          <w:lang w:val="en-US"/>
        </w:rPr>
      </w:pPr>
      <w:r w:rsidRPr="006E4AD8">
        <w:rPr>
          <w:lang w:val="en-US"/>
        </w:rPr>
        <w:t/>
      </w:r>
      <w:r w:rsidRPr="006E4AD8">
        <w:rPr>
          <w:lang w:val="en-US"/>
        </w:rPr>
        <w:br/>
        <w:t>* Deze kwantitatieve en kwalitatieve onderzoeken ter evaluatie van de auditieve en de otoneurologische en vestibulaire functies omvatten minimum alle onderzoeken die bij de kennis worden benoemd</w:t>
      </w:r>
      <w:r w:rsidRPr="006E4AD8">
        <w:rPr>
          <w:lang w:val="en-US"/>
        </w:rPr>
        <w:b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fysica</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wiskunde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elektronica en elektrotechniek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anatomie en fysiologie van het otovestibulair systeem en de bovenste luchtwegen met inbegrip van begrippen van allergologie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pathologie van het otovestibulair systeem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psychologie en psychopathologie van de persoon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gehoorontwikkeling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akoestiek, elektro-akoestiek en psycho-akoestiek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gehoorbescherming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onderzoek van het otovestibulair systeem en van de bovenste luchtwegen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screening van gehoor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kwantitatieve en kwalitatieve metingen ter evaluatie en interpretatie van de auditieve en de otoneurologische en vestibulaire functies, waaronder:  toonaudiometrie ( lucht- en beengeleiding met aangepaste maskeringstechnieken), bepaling MCL/UCL, luidheidaangroeitesten, lokalisatietesten, stemvorktesten , impedantiemetrie, spraakaudiometrie in stilte/ in ruis met aangepaste maskeringstechnieken, elektrofysiologische testen:  ABR, ASSR, ECoG, facialismonitoring, NRT …, OAE, tinnitusanalyse, hyperacousisonderzoek, vestibulometrie: ENG, VNG, VEMP, …, auditieve verwerkingstesten, kinderaudiometrie: BOA, VRA, CPA, spelaudiometrie…, ,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gehooronderzoek van personen met complexe zorgvragen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onderzoeks- en productsoftware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Voert bijkomende handelingen uit in opdracht van een arts in functie van het onderzoek met betrekking tot de evaluatie van de auditieve, de otoneurologische en de vestibulaire functies en de functies van de bovenste luchtwegen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Meet de parameters, manipuleert en gebruikt de onderzoeksapparatuur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producten voor en dient ze toe voor het uitvoeren van onderzoeken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cutane en intradermotesten uit en leest ze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invasieve diagnostische ingrepen voor en assisteert hierbij</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atopische aandoeningen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hygiëne- en ontsmettingsregels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methodieken voor probleemoplossing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fysica</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wiskunde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elektronica en elektrotechniek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akoestiek, elektro-akoestiek en psycho-akoestiek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onderzoek van het otovestibulair systeem en van de bovenste luchtwegen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screening van gehoor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kwantitatieve en kwalitatieve metingen ter evaluatie en interpretatie van de auditieve en de otoneurologische en vestibulaire functies, waaronder:  toonaudiometrie ( lucht- en beengeleiding met aangepaste maskeringstechnieken), bepaling MCL/UCL, luidheidaangroeitesten, lokalisatietesten, stemvorktesten , impedantiemetrie, spraakaudiometrie in stilte/ in ruis met aangepaste maskeringstechnieken, elektrofysiologische testen:  ABR, ASSR, ECoG, facialismonitoring, NRT …, OAE, tinnitusanalyse, hyperacousisonderzoek, vestibulometrie: ENG, VNG, VEMP, …, auditieve verwerkingstesten, kinderaudiometrie: BOA, VRA, CPA, spelaudiometrie…, ,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klinische en audiologische aspecten van implantaten van het middenoor,  cochleaire implantaten,…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Gehoorrevalidatie</w:t>
      </w:r>
    </w:p>
    <w:p w14:paraId="61ECF80C" w14:textId="77777777" w:rsidR="002C5C20" w:rsidRPr="00846EF0" w:rsidRDefault="002C5C20" w:rsidP="002C5C20">
      <w:pPr>
        <w:spacing w:after="0" w:line="240" w:lineRule="auto"/>
        <w:rPr>
          <w:lang w:val="en-US"/>
        </w:rPr>
      </w:pPr>
      <w:r w:rsidRPr="00846EF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Geeft hooropvoeding, -training en gehoorrevalidatie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volgens modellen en curricula voor hooropvoeding en –training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individueel handelingsplan op voor de gehoorrevalidatie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individueel handelingsplan op voor de habilitatieve audiologie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cliënt- en omgevingsgericht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Leert de zorgvrager de hoortoestellen en/of bijkomende luisterhulpmiddelen optimaal te gebruiken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Traint het spraakafzien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de communicatie waar nodig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Leert communicatie- en herstelstrategieën aan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ontwikkelingspsychologie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ontwikkelingsstoornissen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geriatrie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gerontologie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begeleiding van de zorgvrager en zijn omgeving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hygiëne- en ontsmettingsregels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elektronica en elektrotechniek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evaluatiemethoden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motivatietechnieken en -strategieën (beroepseigen veranderstrategieën, modellen voor gedragsverandering,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anatomie en fysiologie van het otovestibulair systeem en de bovenste luchtwegen met inbegrip van begrippen van allergologie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pathologie van het otovestibulair systeem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psychologie en psychopathologie van de persoon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gehoorontwikkeling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akoestiek, elektro-akoestiek en psycho-akoestiek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gehooronderzoek van personen met complexe zorgvragen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klinische en audiologische aspecten van implantaten van het middenoor,  cochleaire implantaten,…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rehabilitatieve audiologie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communicatiewijzen van personen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communicatieve en sociale vaardigheden aangepast aan personen met een auditieve beperking en/of complexe noden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taal- en spraakontwikkeling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Preventie en screening</w:t>
      </w:r>
    </w:p>
    <w:p w14:paraId="61ECF80C" w14:textId="77777777" w:rsidR="002C5C20" w:rsidRPr="00846EF0" w:rsidRDefault="002C5C20" w:rsidP="002C5C20">
      <w:pPr>
        <w:spacing w:after="0" w:line="240" w:lineRule="auto"/>
        <w:rPr>
          <w:lang w:val="en-US"/>
        </w:rPr>
      </w:pPr>
      <w:r w:rsidRPr="00846EF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Doet aan preventie en screening van gehoorstoornissen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Sensibiliseert de verschillende doelgroepen (individuen, groepen, organisaties en overheden)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Meet geluidsniveaus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blootstelling aan schadelijk lawaai in kaart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over de wettelijke regels met betrekking tot geluidsniveaus, ARAB, leefmilieu,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het effect en de bescherming van gehoorbeschermingsmiddelen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Adviseert over lawaaireductie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belemmeringen aan voor slechthorende werknemers en stelt de bijhorende risico-inventaris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mee aan het ontwikkelen van voorlichtingsmateriaal, handleidingen,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algemene anatomie, neuroanatomie en medische genetica</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neurologie met inbegrip van neuropediatrie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ontwikkelingspsychologie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hygiëne- en ontsmettingsregels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wiskunde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elektronica en elektrotechniek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wetgeving m.b.t. geluidniveaus, ARAB, leefmilieu,…</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motivatietechnieken en -strategieën (beroepseigen veranderstrategieën, modellen voor gedragsverandering,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fonetiek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anatomie en fysiologie van het otovestibulair systeem en de bovenste luchtwegen met inbegrip van begrippen van allergologie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pathologie van het otovestibulair systeem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psychologie en psychopathologie van de persoon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gehoorontwikkeling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akoestiek, elektro-akoestiek en psycho-akoestiek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sonometrie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geluidsbeheer en preventie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gehoorbescherming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behandeling van tinnitus en hypo- en hyperacousis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Geeft advies en informatie door screening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gehoorscreening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advies en informatie bij de gehoorscreening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algemene anatomie, neuroanatomie en medische genetica</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neurologie met inbegrip van neuropediatrie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ontwikkelingspsychologie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motivatietechnieken en -strategieën (beroepseigen veranderstrategieën, modellen voor gedragsverandering,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anatomie en fysiologie van het otovestibulair systeem en de bovenste luchtwegen met inbegrip van begrippen van allergologie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pathologie van het otovestibulair systeem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psychologie en psychopathologie van de persoon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gehoorontwikkeling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akoestiek, elektro-akoestiek en psycho-akoestiek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onderzoek van het otovestibulair systeem en van de bovenste luchtwegen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screening van gehoor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kwantitatieve en kwalitatieve metingen ter evaluatie en interpretatie van de auditieve en de otoneurologische en vestibulaire functies, waaronder:  toonaudiometrie ( lucht- en beengeleiding met aangepaste maskeringstechnieken), bepaling MCL/UCL, luidheidaangroeitesten, lokalisatietesten, stemvorktesten , impedantiemetrie, spraakaudiometrie in stilte/ in ruis met aangepaste maskeringstechnieken, elektrofysiologische testen:  ABR, ASSR, ECoG, facialismonitoring, NRT …, OAE, tinnitusanalyse, hyperacousisonderzoek, vestibulometrie: ENG, VNG, VEMP, …, auditieve verwerkingstesten, kinderaudiometrie: BOA, VRA, CPA, spelaudiometrie…, ,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gehooronderzoek van personen met complexe zorgvragen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communicatiewijzen van personen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communicatieve en sociale vaardigheden aangepast aan personen met een auditieve beperking en/of complexe noden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Voert eerste fase diagnostiek uit met betrekking tot het bepalen van de gehoordrempel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toonaudiometrie uit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Grondige kennis van anatomie en fysiologie van het otovestibulair systeem en de bovenste luchtwegen met inbegrip van begrippen van allergologie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pathologie van het otovestibulair systeem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psychologie en psychopathologie van de persoon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akoestiek, elektro-akoestiek en psycho-akoestiek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screening van gehoor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kwantitatieve en kwalitatieve metingen ter evaluatie en interpretatie van de auditieve en de otoneurologische en vestibulaire functies, waaronder:  toonaudiometrie ( lucht- en beengeleiding met aangepaste maskeringstechnieken), bepaling MCL/UCL, luidheidaangroeitesten, lokalisatietesten, stemvorktesten , impedantiemetrie, spraakaudiometrie in stilte/ in ruis met aangepaste maskeringstechnieken, elektrofysiologische testen:  ABR, ASSR, ECoG, facialismonitoring, NRT …, OAE, tinnitusanalyse, hyperacousisonderzoek, vestibulometrie: ENG, VNG, VEMP, …, auditieve verwerkingstesten, kinderaudiometrie: BOA, VRA, CPA, spelaudiometrie…, ,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gehooronderzoek van personen met complexe zorgvragen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Evenwichtsrevalidatie</w:t>
      </w:r>
    </w:p>
    <w:p w14:paraId="61ECF80C" w14:textId="77777777" w:rsidR="002C5C20" w:rsidRPr="00846EF0" w:rsidRDefault="002C5C20" w:rsidP="002C5C20">
      <w:pPr>
        <w:spacing w:after="0" w:line="240" w:lineRule="auto"/>
        <w:rPr>
          <w:lang w:val="en-US"/>
        </w:rPr>
      </w:pPr>
      <w:r w:rsidRPr="00846EF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Geeft revalidatie van de evenwichtsfunctie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bevrijdingsmanoeuvres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Leert habituatie-oefeningen aan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algemene anatomie, neuroanatomie en medische genetica</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neurologie met inbegrip van neuropediatrie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motivatietechnieken en -strategieën (beroepseigen veranderstrategieën, modellen voor gedragsverandering,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anatomie en fysiologie van het otovestibulair systeem en de bovenste luchtwegen met inbegrip van begrippen van allergologie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pathologie van het otovestibulair systeem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psychologie en psychopathologie van de persoon met een auditieve beperking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gehoorontwikkeling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kwantitatieve en kwalitatieve metingen ter evaluatie en interpretatie van de auditieve en de otoneurologische en vestibulaire functies, waaronder:  toonaudiometrie ( lucht- en beengeleiding met aangepaste maskeringstechnieken), bepaling MCL/UCL, luidheidaangroeitesten, lokalisatietesten, stemvorktesten , impedantiemetrie, spraakaudiometrie in stilte/ in ruis met aangepaste maskeringstechnieken, elektrofysiologische testen:  ABR, ASSR, ECoG, facialismonitoring, NRT …, OAE, tinnitusanalyse, hyperacousisonderzoek, vestibulometrie: ENG, VNG, VEMP, …, auditieve verwerkingstesten, kinderaudiometrie: BOA, VRA, CPA, spelaudiometrie…, ,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revalidatie van de evenwichtsfunctie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communicatieve en sociale vaardigheden aangepast aan personen met een auditieve beperking en/of complexe noden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Algemene activiteiten</w:t>
      </w:r>
    </w:p>
    <w:p w14:paraId="61ECF80C" w14:textId="77777777" w:rsidR="002C5C20" w:rsidRPr="00846EF0" w:rsidRDefault="002C5C20" w:rsidP="002C5C20">
      <w:pPr>
        <w:spacing w:after="0" w:line="240" w:lineRule="auto"/>
        <w:rPr>
          <w:lang w:val="en-US"/>
        </w:rPr>
      </w:pPr>
      <w:r w:rsidRPr="00846EF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Werkt veilig volgens de wettelijke reglementeringen en geldende kwaliteitsvereisten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procedures en regels op vlak van hygiëne, (bio)veiligheid, kwaliteit,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Draagt persoonlijke en collectieve beschermingsmiddelen volgens de procedure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wetgeving en zet deze om in praktijk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hygiëne- en ontsmettingsregels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methodieken voor probleemoplossing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ethiek en deontologie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professionele fora en informatiebronnen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wetgeving aangaande het beroep (WUG, wetgeving aangaande het beroep, rechten van de patiënt,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11:</w:t>
      </w:r>
    </w:p>
    <w:p w14:paraId="7C1D13F1" w14:textId="77777777" w:rsidR="002C5C20" w:rsidRPr="00A4228D" w:rsidRDefault="002C5C20" w:rsidP="004B60A1">
      <w:pPr>
        <w:spacing w:after="0" w:line="240" w:lineRule="auto"/>
      </w:pPr>
      <w:r w:rsidRPr="004B60A1">
        <w:rPr>
          <w:rFonts w:cstheme="minorHAnsi"/>
        </w:rPr>
        <w:t>Werkt samen met andere actoren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efficiënt met alle actoren (zorgverstrekkers, leidinggevenden, collega’s, officiële instanties,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in een multi-* en interdisciplinaire*  context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leidinggevende indien van toepassing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afgesproken procedures en werkschema’s</w:t>
      </w:r>
    </w:p>
    <w:p w14:paraId="5E71E31E" w14:textId="77777777" w:rsidR="000F2A0A" w:rsidRPr="006E4AD8" w:rsidRDefault="002C5C20" w:rsidP="002C5C20">
      <w:pPr>
        <w:pStyle w:val="Voetnoot"/>
        <w:rPr>
          <w:lang w:val="en-US"/>
        </w:rPr>
      </w:pPr>
      <w:r w:rsidRPr="006E4AD8">
        <w:rPr>
          <w:lang w:val="en-US"/>
        </w:rPr>
        <w:t/>
      </w:r>
      <w:r w:rsidRPr="006E4AD8">
        <w:rPr>
          <w:lang w:val="en-US"/>
        </w:rPr>
        <w:br/>
        <w:t>* Multidisciplinaire: er zijn in een team een veelheid aan disciplines aanwezig, maar elke beroepsgroep heeft zijn eigen taken die duidelijk afgegrensd zijn van de taken van een andere beroepsgroep.</w:t>
      </w:r>
      <w:r>
        <w:br/>
      </w:r>
      <w:r>
        <w:t>*Interdisciplinaire: er zijn in een team een veelheid aan disciplines aanwezig, waarbij de zorgverstrekkers van elke beroepsgroep zowel eigen taken heeft als taken die ze gemeenschappelijk hebben met andere beroepsgroepen.</w:t>
      </w:r>
      <w:r w:rsidRPr="006E4AD8">
        <w:rPr>
          <w:lang w:val="en-US"/>
        </w:rPr>
        <w:b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kantoorsoftware en beroepsspecifieke 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administratieve taken aangaande verslaggeving, dossieropmaak, wetgeving met betrekking tot beroepsuitoefening, patiëntgerelateerde administratie (RIZIV, ziekteverzekering,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communicatieve  en sociale 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12:</w:t>
      </w:r>
    </w:p>
    <w:p w14:paraId="7C1D13F1" w14:textId="77777777" w:rsidR="002C5C20" w:rsidRPr="00A4228D" w:rsidRDefault="002C5C20" w:rsidP="004B60A1">
      <w:pPr>
        <w:spacing w:after="0" w:line="240" w:lineRule="auto"/>
      </w:pPr>
      <w:r w:rsidRPr="004B60A1">
        <w:rPr>
          <w:rFonts w:cstheme="minorHAnsi"/>
        </w:rPr>
        <w:t>Handelt volgens de professionele gedragscodes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empathisch met alle betrokken actoren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zakelijke omgangsvormen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volgens de professionele, wettelijke en ethisch- deontologische waarden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verzorgd voorkomen en past zijn/haar kledij aan conform de taakuitvoering en voorschriften van de instelling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ethiek en deontologie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wetgeving aangaande het beroep (WUG, wetgeving aangaande het beroep, rechten van de patiënt,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13:</w:t>
      </w:r>
    </w:p>
    <w:p w14:paraId="7C1D13F1" w14:textId="77777777" w:rsidR="002C5C20" w:rsidRPr="00A4228D" w:rsidRDefault="002C5C20" w:rsidP="004B60A1">
      <w:pPr>
        <w:spacing w:after="0" w:line="240" w:lineRule="auto"/>
      </w:pPr>
      <w:r w:rsidRPr="004B60A1">
        <w:rPr>
          <w:rFonts w:cstheme="minorHAnsi"/>
        </w:rPr>
        <w:t>Zorgt voor de administratieve afhandeling van zorgvraaggerelateerde documenten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verslagen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gegevens in het dossier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Bezorgt de zorgvrager/zorgverzekering de documenten voor financiële tegemoetkoming,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kantoorsoftware en beroepsspecifieke 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administratieve taken aangaande verslaggeving, dossieropmaak, wetgeving met betrekking tot beroepsuitoefening, patiëntgerelateerde administratie (RIZIV, ziekteverzekering,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bedrijfseigen 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communicatieve en sociale vaardigheden aangepast aan personen met een auditieve beperking en/of complexe noden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14:</w:t>
      </w:r>
    </w:p>
    <w:p w14:paraId="7C1D13F1" w14:textId="77777777" w:rsidR="002C5C20" w:rsidRPr="00A4228D" w:rsidRDefault="002C5C20" w:rsidP="004B60A1">
      <w:pPr>
        <w:spacing w:after="0" w:line="240" w:lineRule="auto"/>
      </w:pPr>
      <w:r w:rsidRPr="004B60A1">
        <w:rPr>
          <w:rFonts w:cstheme="minorHAnsi"/>
        </w:rPr>
        <w:t>Geeft advies en informatie over het beroep en de beroepsinhoud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mee aan het ontwikkelingen van voorlichtingsmateriaal, handleidingen,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beleidsinstanties en doelgroepen*  over gehoor, evenwicht, beroep van audioloog, hoortoestellen en andere hulpmiddelen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Adviseert professionals</w:t>
      </w:r>
    </w:p>
    <w:p w14:paraId="5E71E31E" w14:textId="77777777" w:rsidR="000F2A0A" w:rsidRPr="006E4AD8" w:rsidRDefault="002C5C20" w:rsidP="002C5C20">
      <w:pPr>
        <w:pStyle w:val="Voetnoot"/>
        <w:rPr>
          <w:lang w:val="en-US"/>
        </w:rPr>
      </w:pPr>
      <w:r w:rsidRPr="006E4AD8">
        <w:rPr>
          <w:lang w:val="en-US"/>
        </w:rPr>
        <w:t/>
      </w:r>
      <w:r w:rsidRPr="006E4AD8">
        <w:rPr>
          <w:lang w:val="en-US"/>
        </w:rPr>
        <w:br/>
        <w:t>* Doelgroep: alle personen in alle leeftijdsfasen, in gezonde of (multi)pathologische toestand, met psychische en/of sociale problemen, verschillende culturele achtergronden en met verschillende fysieke activiteiten</w:t>
      </w:r>
      <w:r w:rsidRPr="006E4AD8">
        <w:rPr>
          <w:lang w:val="en-US"/>
        </w:rPr>
        <w:b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toegepast wetenschappelijk onderzoek (statistiek,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beschikbare en relevante opleidingen (Levenslang leren)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professionele fora en informatiebronnen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wetgeving aangaande het beroep (WUG, wetgeving aangaande het beroep, rechten van de patiënt,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15:</w:t>
      </w:r>
    </w:p>
    <w:p w14:paraId="7C1D13F1" w14:textId="77777777" w:rsidR="002C5C20" w:rsidRPr="00A4228D" w:rsidRDefault="002C5C20" w:rsidP="004B60A1">
      <w:pPr>
        <w:spacing w:after="0" w:line="240" w:lineRule="auto"/>
      </w:pPr>
      <w:r w:rsidRPr="004B60A1">
        <w:rPr>
          <w:rFonts w:cstheme="minorHAnsi"/>
        </w:rPr>
        <w:t>Ontwikkelt de eigen deskundigheid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Schoolt zich permanent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het eigen beroepsmatig handelen door middel van toetsing en reflectie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Levert een actieve bijdrage aan de ontwikkeling van kennis en kunde met betrekking tot het beroep en het vakgebied bij externe instanties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Implementeert elementen die de kwaliteit van de dienstverlening verbeteren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kritisch wetenschappelijke onderzoeksliteratuur en gebruikt deze binnen professionele setting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actuele, wetenschappelijke ontwikkelingen op binnen het vakgebied en zet deze om in de praktijk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relevante informatiebronnen (handleidingen, internet, met inbegrip van Engelstalige vakliteratuur)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taal die men in het kader van het beroep hanteert op voldoende deskundige wijze zowel mondeling als schriftelijk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methodieken voor probleemoplossing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ethische regels rond wetenschappelijk onderzoek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toegepast wetenschappelijk onderzoek (statistiek,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beschikbare en relevante opleidingen (Levenslang leren)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professionele fora en informatiebronnen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wetgeving aangaande het beroep (WUG, wetgeving aangaande het beroep, rechten van de patiënt,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statistiek en informatietechnologie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Engels (kan de hoofdgedachte van een ingewikkelde tekst begrijpen, zowel over concrete als over abstracte onderwerpen met inbegrip van technische besprekingen van eigen vakgebied)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evaluatiemethoden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reflectiestrategieën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16:</w:t>
      </w:r>
    </w:p>
    <w:p w14:paraId="7C1D13F1" w14:textId="77777777" w:rsidR="002C5C20" w:rsidRPr="00A4228D" w:rsidRDefault="002C5C20" w:rsidP="004B60A1">
      <w:pPr>
        <w:spacing w:after="0" w:line="240" w:lineRule="auto"/>
      </w:pPr>
      <w:r w:rsidRPr="004B60A1">
        <w:rPr>
          <w:rFonts w:cstheme="minorHAnsi"/>
        </w:rPr>
        <w:t>Draagt bij tot de ontwikkeling van het beroep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intercollegiaal overleg en kennisnetwerken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volgens actuele wetenschappelijke inzichten, richtlijnen voor de praktijk (evidence based practice) en (inter)nationale ontwikkelingen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de verschillende fasen van wetenschappelijk onderzoek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toegepast wetenschappelijk onderzoek (statistiek,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beschikbare en relevante opleidingen (Levenslang leren)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professionele fora en informatiebronnen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wetgeving aangaande het beroep (WUG, wetgeving aangaande het beroep, rechten van de patiënt,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statistiek en informatietechnologie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Engels (kan de hoofdgedachte van een ingewikkelde tekst begrijpen, zowel over concrete als over abstracte onderwerpen met inbegrip van technische besprekingen van eigen vakgebied)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rsidRPr="00C8688E">
        <w:rPr>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algemene anatomie, neuroanatomie en medische genetica</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atopische aandoeningen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neurologie met inbegrip van neuropediatrie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ontwikkelingspsychologie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linguïstiek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ontwikkelingsstoornissen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geriatrie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gerontologie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begeleiding van de zorgvrager en zijn omgeving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hygiëne- en ontsmettingsregels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methodieken voor probleemoplossing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ethiek en deontologie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fysica</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wiskunde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elektronica en elektrotechniek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ethische regels rond wetenschappelijk onderzoek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toegepast wetenschappelijk onderzoek (statistiek,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beschikbare en relevante opleidingen (Levenslang leren)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professionele fora en informatiebronnen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wetgeving aangaande het beroep (WUG, wetgeving aangaande het beroep, rechten van de patiënt,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wetgeving m.b.t. geluidniveaus, ARAB, leefmilieu,…</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statistiek en informatietechnologie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 en beroepsspecifieke software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administratieve taken aangaande verslaggeving, dossieropmaak, wetgeving met betrekking tot beroepsuitoefening, patiëntgerelateerde administratie (RIZIV, ziekteverzekering,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(kan de hoofdgedachte van een ingewikkelde tekst begrijpen, zowel over concrete als over abstracte onderwerpen met inbegrip van technische besprekingen van eigen vakgebied)</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anamnesegesprek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intakegesprek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evaluatiemethoden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reflectiestrategieën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motivatietechnieken en -strategieën (beroepseigen veranderstrategieën, modellen voor gedragsverandering,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fonetiek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neuro- en psycholinguïstiek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Nederlandse taal om ze op deskundige wijze te kunnen hanteren in het kader van het beroep en dit zowel mondeling als schriftelijk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communicatieve  en sociale vaardigheden</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anatomie en fysiologie van het otovestibulair systeem en de bovenste luchtwegen met inbegrip van begrippen van allergologie</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pathologie van het otovestibulair systeem</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psychologie en psychopathologie van de persoon met een auditieve beperking</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gehoorontwikkeling</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akoestiek, elektro-akoestiek en psycho-akoestiek</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sonometrie</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geluidsbeheer en preventie</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gehoorbescherming </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onderzoek van het otovestibulair systeem en van de bovenste luchtwegen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screening van gehoor</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kwantitatieve en kwalitatieve metingen ter evaluatie en interpretatie van de auditieve en de otoneurologische en vestibulaire functies, waaronder:  toonaudiometrie ( lucht- en beengeleiding met aangepaste maskeringstechnieken), bepaling MCL/UCL, luidheidaangroeitesten, lokalisatietesten, stemvorktesten , impedantiemetrie, spraakaudiometrie in stilte/ in ruis met aangepaste maskeringstechnieken, elektrofysiologische testen:  ABR, ASSR, ECoG, facialismonitoring, NRT …, OAE, tinnitusanalyse, hyperacousisonderzoek, vestibulometrie: ENG, VNG, VEMP, …, auditieve verwerkingstesten, kinderaudiometrie: BOA, VRA, CPA, spelaudiometrie…, , ...</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gehooronderzoek van personen met complexe zorgvragen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klinische en audiologische aspecten van implantaten van het middenoor,  cochleaire implantaten,…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rehabilitatieve audiologie</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behandeling van tinnitus en hypo- en hyperacousis</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revalidatie van de evenwichtsfunctie</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bedrijfseigen software</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vakterminologie</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communicatiewijzen van personen met een auditieve beperking</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communicatieve en sociale vaardigheden aangepast aan personen met een auditieve beperking en/of complexe noden </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taal- en spraakontwikkeling</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onderzoeks- en productsoftware</w:t>
      </w:r>
      <w:r w:rsidRPr="00127D6A">
        <w:rPr>
          <w:rFonts w:cstheme="minorHAnsi"/>
          <w:color w:val="FF0000"/>
        </w:rPr>
        <w:t/>
      </w:r>
    </w:p>
    <w:p w14:paraId="5E436A55" w14:textId="77777777" w:rsidR="00350A3E" w:rsidRPr="00C8688E" w:rsidRDefault="00350A3E" w:rsidP="00350A3E">
      <w:pPr>
        <w:spacing w:after="0" w:line="240" w:lineRule="auto"/>
        <w:rPr>
          <w:rFonts w:cstheme="minorHAnsi"/>
        </w:rPr>
      </w:pPr>
      <w:r w:rsidRPr="00667AD5">
        <w:rPr>
          <w:color w:val="FF0000"/>
        </w:rPr>
        <w:t/>
      </w:r>
    </w:p>
    <w:p w14:paraId="5B5327C7" w14:textId="77777777" w:rsidR="00350A3E" w:rsidRPr="00900EA7" w:rsidRDefault="00350A3E" w:rsidP="00350A3E">
      <w:pPr>
        <w:pStyle w:val="Voetnoot"/>
      </w:pPr>
      <w:r w:rsidRPr="006468CA">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een intakegesprek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Verzamelt anamnesegegevens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Betrekt de omgeving van de zorgvrager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Informeert en adviseert de zorgvrager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het taalgebruik aan de zorgvrager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Stemt de werkwijze af op de zorgvrager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onderzoeksapparatuur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Staat in voor de regelmatige ijking van de onderzoeksapparatuur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Selecteert geschikte onderzoeksmethoden ter evaluatie van de auditieve en/of otoneurologische en/of vestibulaire functies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kwantitatieve en kwalitatieve onderzoeken uit volgens procedure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Interpreteert de onderzoeksresultaten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Meet de parameters, manipuleert en gebruikt de onderzoeksapparatuur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cutane en intradermotesten uit en leest ze af</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Bereidt invasieve diagnostische ingrepen voor en assisteert hierbij</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volgens modellen en curricula voor hooropvoeding en –training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een individueel handelingsplan op voor de gehoorrevalidatie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Leert de zorgvrager de hoortoestellen en/of bijkomende luisterhulpmiddelen optimaal te gebruiken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Traint het spraakafzien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Ondersteunt de communicatie waar nodig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Sensibiliseert de verschillende doelgroepen (individuen, groepen, organisaties en overheden)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Brengt de blootstelling aan schadelijk lawaai in kaart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Informeert over de wettelijke regels met betrekking tot geluidsniveaus, ARAB, leefmilieu,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Berekent het effect en de bescherming van gehoorbeschermingsmiddelen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Adviseert over lawaaireductie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mee aan het ontwikkelen van voorlichtingsmateriaal, handleidingen,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advies en informatie bij de gehoorscreening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procedures en regels op vlak van hygiëne, (bio)veiligheid, kwaliteit,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de wetgeving en zet deze om in praktijk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efficiënt met alle actoren (zorgverstrekkers, leidinggevenden, collega’s, officiële instanties,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in een multi-* en interdisciplinaire*  context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 indien van toepassing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efficiënt samen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afgesproken procedures en werkschema’s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empathisch met alle betrokken actoren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zakelijke omgangsvormen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Handelt volgens de professionele, wettelijke en ethisch- deontologische waarden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verslagen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Registreert gegevens in het dossier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mee aan het ontwikkelingen van voorlichtingsmateriaal, handleidingen,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Informeert beleidsinstanties en doelgroepen*  over gehoor, evenwicht, beroep van audioloog, hoortoestellen en andere hulpmiddelen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Adviseert professionals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Schoolt zich permanent bij</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Levert een actieve bijdrage aan de ontwikkeling van kennis en kunde met betrekking tot het beroep en het vakgebied bij externe instanties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Implementeert elementen die de kwaliteit van de dienstverlening verbeteren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actuele, wetenschappelijke ontwikkelingen op binnen het vakgebied en zet deze om in de praktijk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Raadpleegt relevante informatiebronnen (handleidingen, internet, met inbegrip van Engelstalige vakliteratuur)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de taal die men in het kader van het beroep hanteert op voldoende deskundige wijze zowel mondeling als schriftelijk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Neemt deel aan intercollegiaal overleg en kennisnetwerken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volgens actuele wetenschappelijke inzichten, richtlijnen voor de praktijk (evidence based practice) en (inter)nationale ontwikkelingen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Neemt deel aan de verschillende fasen van wetenschappelijk onderzoek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Leert habituatie-oefeningen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een individueel handelingsplan op voor de habilitatieve audiologie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cliënt- en omgevingsgericht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Leert communicatie- en herstelstrategieën aan</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Kan flexibel inspelen op de mentale en fysieke toestand van de zorgvrager</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Geeft belemmeringen aan voor slechthorende werknemers en stelt de bijhorende risico-inventaris op</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het eigen beroepsmatig handelen door middel van toetsing en reflectie</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kritisch wetenschappelijke onderzoeksliteratuur en gebruikt deze binnen professionele setting</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otoscopie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producten voor en dient ze toe voor het uitvoeren van onderzoeken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Meet geluidsniveaus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gehoorscreening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toonaudiometrie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bevrijdingsmanoeuvres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persoonlijke en collectieve beschermingsmiddelen volgens de procedure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Zorgt voor een verzorgd voorkomen en past zijn/haar kledij aan conform de taakuitvoering en voorschriften van de instelling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Bezorgt de zorgvrager/zorgverzekering de documenten voor financiële tegemoetkoming, …</w:t>
      </w:r>
      <w:r w:rsidRPr="00152272">
        <w:rPr>
          <w:rFonts w:cstheme="minorHAnsi"/>
          <w:color w:val="FF0000"/>
          <w:lang w:val="de-DE"/>
        </w:rPr>
        <w:t/>
      </w:r>
    </w:p>
    <w:p w14:paraId="4A9ADE99" w14:textId="77777777" w:rsidR="00350A3E" w:rsidRPr="005D162A" w:rsidRDefault="00350A3E" w:rsidP="00350A3E">
      <w:pPr>
        <w:spacing w:after="0" w:line="240" w:lineRule="auto"/>
        <w:rPr>
          <w:rFonts w:cstheme="minorHAnsi"/>
        </w:rPr>
      </w:pPr>
      <w:r w:rsidRPr="00FD53EF">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audioloog wordt uitgeoefend in verschillende omgevingen. De werkomgeving is verschillend per setting en de audioloog moet zich in en tussen bepaalde werkomgevingen vlot kunnen verplaatsen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hoofdzakelijk uitgeoefend binnen regelmatige werktijden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teamverband, multidisciplinair en/of individueel, waarbij de nodige flexibiliteit belangrijk is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met betrekking tot hoortoestelaanpassingen en gehoorbescherming worden aan de hand van een medisch voorschrift van de (neus-keel-oor) arts en volgens de nood van de zorgvrager opgesteld</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vereist een kritische en onderzoekende houding</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een sterk kwaliteitsbewustzijn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audioloog komt in contact met verschillende interne en/of externe actoren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uit te voeren werk is gevarieerd en kan complex zijn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sector kent reglementeringen inzake het beroep, de veiligheid, gezondheid, hygiëne, welzijn, milieu, …</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moet op constructieve en transparante wijze informatie uitwisselen met de andere actoren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moet afhankelijk van de opdracht en de bedrijfscontext, routinematige en/ of gevarieerde handelingen kunnen uitvoeren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is zich constant bewust van de impact van zijn handelingen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kan zich aanpassen aan en flexibel opstellen bij wisselende werkomstandigheden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moet steeds de voorschriften, regelgeving en kwaliteitseisen respecteren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moet bijblijven met de ontwikkelingen binnen de sector, dit vergt leergierigheid en het volgen van (verplichte) opleidingen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moet planmatig kunnen denken en zijn werkzaamheden organiseren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moet discreet handelen conform de bedrijfsethiek en professionele gedragscode</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vereist het nemen van beslissingen binnen de eigen werksituatie</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toont zin voor initiatief binnen bepaalde situaties, problemen, opdrachten,…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moet analytisch kunnen denken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moet kwaliteitsvol handelen en oog hebben voor de tevredenheid van de zorgvrager</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moet het positief imago van zijn onderneming uitstralen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audioloog moet op empathische wijze omgaan met de zorgvrager</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beroepsspecifieke handelingen en de door de regelgeving beschreven technische activiteiten en toevertrouwde handelingen (uitgevoerd conform de wetgeving)</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een anamnese en klinisch onderzoek</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te gebruiken kwalitatieve en kwantitatieve onderzoeken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geven van hooropvoeding, -training en -revalidatie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door de regelgeving beschreven technische activiteiten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preventieve maatregelen wat betreft gehoorbescherming</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eigen werk</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informeren, adviseren van de zorgvrager over de mogelijke audiologische aanpak</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verstrekken van informatie aangaande audiologisch gerelateerde thema’s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regelen, plannen en uitvoeren van de praktische administratieve taken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en/of geven van opleidingen, vormingen, trainingen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up-to-date houden van de eigen kennis</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ontvangen en uitvoeren van door de arts voorgeschreven opdrachten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Tijdsplanning,</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gezondheids-, kwaliteits- en milieuvoorschriften en procedures</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professionele gedragscode</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(federale) wetgeving</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opdrachtgever voor de opdracht, gegevens en bijkomende instructies</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multidisciplinair team, collega’s, omgeving van de zorgvrager voor advies en samenwerking</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Bepaalt de vragen en de noden van de zorgvrager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de werkwijze en de onderzoeksmethoden aan de zorgvrager aan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kwantitatieve en kwalitatieve onderzoeken*  uit ter evaluatie van de auditieve en/of otoneurologische en/of vestibulaire functies van het gehoor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bijkomende handelingen uit in opdracht van een arts in functie van het onderzoek met betrekking tot de evaluatie van de auditieve, de otoneurologische en de vestibulaire functies en de functies van de bovenste luchtwegen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hooropvoeding, -training en gehoorrevalidatie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Doet aan preventie en screening van gehoorstoornissen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advies en informatie door screening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eerste fase diagnostiek uit met betrekking tot het bepalen van de gehoordrempel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revalidatie van de evenwichtsfunctie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veilig volgens de wettelijke reglementeringen en geldende kwaliteitsvereisten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 met andere actoren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volgens de professionele gedragscodes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voor de administratieve afhandeling van zorgvraaggerelateerde documenten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advies en informatie over het beroep en de beroepsinhoud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deskundigheid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bij tot de ontwikkeling van het beroep </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14:paraId="7B3ABCCF" w14:textId="77777777" w:rsidR="00C2126F" w:rsidRDefault="00C2126F" w:rsidP="00C2126F">
      <w:pPr>
        <w:pStyle w:val="Titel3"/>
      </w:pPr>
      <w:r>
        <w:t>Wettelijke attesten en voorwaarden</w:t>
      </w:r>
    </w:p>
    <w:p w14:paraId="176A3F0C" w14:textId="77777777" w:rsidR="00C2126F" w:rsidRPr="0080704E" w:rsidRDefault="00C2126F" w:rsidP="00C2126F">
      <w:pPr>
        <w:spacing w:after="0" w:line="240" w:lineRule="auto"/>
      </w:pPr>
      <w:r w:rsidRPr="0080704E">
        <w:lastRenderedPageBreak/>
        <w:t>Voor de beroepsuitoefening van ‘</w:t>
      </w:r>
      <w:r w:rsidRPr="0080704E">
        <w:rPr>
          <w:u w:val="single"/>
        </w:rPr>
        <w:t>Audioloog</w:t>
      </w:r>
      <w:r w:rsidRPr="0080704E">
        <w:t>’ is het beschikken van volgende attesten en/of voldoen aan volgende voorwaarden wettelijk verplicht:</w:t>
      </w:r>
    </w:p>
    <w:p w14:paraId="62016DEC" w14:textId="77777777" w:rsidR="00C2126F" w:rsidRPr="007F08C3" w:rsidRDefault="00C2126F" w:rsidP="00C2126F">
      <w:pPr>
        <w:pStyle w:val="ListParagraph"/>
        <w:numPr>
          <w:ilvl w:val="0"/>
          <w:numId w:val="19"/>
        </w:numPr>
        <w:spacing w:after="0" w:line="240" w:lineRule="auto"/>
      </w:pPr>
      <w:r>
        <w:t>Voorwaarden voor de uitoefening van het gezondheidszorgberoep zoals bepaald in Gecoördineerde wet van 10 mei 2015 betreffende de uitoefening van de gezondheidszorgberoepen</w:t>
      </w:r>
    </w:p>
    <w:p w14:paraId="6BE2EA45" w14:textId="77777777" w:rsidR="00C2126F" w:rsidRPr="00B5479F" w:rsidRDefault="00C2126F" w:rsidP="00C2126F">
      <w:pPr>
        <w:spacing w:after="0" w:line="240" w:lineRule="auto"/>
        <w:rPr>
          <w:lang w:val="en-US"/>
        </w:rPr>
      </w:pPr>
      <w:r w:rsidRPr="00B5479F">
        <w:rPr>
          <w:lang w:val="en-US"/>
        </w:rPr>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4D789F"/>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46EF0"/>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656620">
      <w:bodyDiv w:val="1"/>
      <w:marLeft w:val="0"/>
      <w:marRight w:val="0"/>
      <w:marTop w:val="0"/>
      <w:marBottom w:val="0"/>
      <w:divBdr>
        <w:top w:val="none" w:sz="0" w:space="0" w:color="auto"/>
        <w:left w:val="none" w:sz="0" w:space="0" w:color="auto"/>
        <w:bottom w:val="none" w:sz="0" w:space="0" w:color="auto"/>
        <w:right w:val="none" w:sz="0" w:space="0" w:color="auto"/>
      </w:divBdr>
      <w:divsChild>
        <w:div w:id="1318918149">
          <w:marLeft w:val="0"/>
          <w:marRight w:val="0"/>
          <w:marTop w:val="0"/>
          <w:marBottom w:val="0"/>
          <w:divBdr>
            <w:top w:val="none" w:sz="0" w:space="0" w:color="auto"/>
            <w:left w:val="none" w:sz="0" w:space="0" w:color="auto"/>
            <w:bottom w:val="none" w:sz="0" w:space="0" w:color="auto"/>
            <w:right w:val="none" w:sz="0" w:space="0" w:color="auto"/>
          </w:divBdr>
          <w:divsChild>
            <w:div w:id="126581987">
              <w:marLeft w:val="0"/>
              <w:marRight w:val="0"/>
              <w:marTop w:val="0"/>
              <w:marBottom w:val="0"/>
              <w:divBdr>
                <w:top w:val="none" w:sz="0" w:space="0" w:color="auto"/>
                <w:left w:val="none" w:sz="0" w:space="0" w:color="auto"/>
                <w:bottom w:val="none" w:sz="0" w:space="0" w:color="auto"/>
                <w:right w:val="none" w:sz="0" w:space="0" w:color="auto"/>
              </w:divBdr>
              <w:divsChild>
                <w:div w:id="2143617211">
                  <w:marLeft w:val="0"/>
                  <w:marRight w:val="0"/>
                  <w:marTop w:val="0"/>
                  <w:marBottom w:val="0"/>
                  <w:divBdr>
                    <w:top w:val="none" w:sz="0" w:space="0" w:color="auto"/>
                    <w:left w:val="none" w:sz="0" w:space="0" w:color="auto"/>
                    <w:bottom w:val="none" w:sz="0" w:space="0" w:color="auto"/>
                    <w:right w:val="none" w:sz="0" w:space="0" w:color="auto"/>
                  </w:divBdr>
                  <w:divsChild>
                    <w:div w:id="957030492">
                      <w:marLeft w:val="0"/>
                      <w:marRight w:val="0"/>
                      <w:marTop w:val="0"/>
                      <w:marBottom w:val="0"/>
                      <w:divBdr>
                        <w:top w:val="none" w:sz="0" w:space="0" w:color="auto"/>
                        <w:left w:val="none" w:sz="0" w:space="0" w:color="auto"/>
                        <w:bottom w:val="none" w:sz="0" w:space="0" w:color="auto"/>
                        <w:right w:val="none" w:sz="0" w:space="0" w:color="auto"/>
                      </w:divBdr>
                      <w:divsChild>
                        <w:div w:id="36586605">
                          <w:marLeft w:val="0"/>
                          <w:marRight w:val="0"/>
                          <w:marTop w:val="0"/>
                          <w:marBottom w:val="0"/>
                          <w:divBdr>
                            <w:top w:val="none" w:sz="0" w:space="0" w:color="auto"/>
                            <w:left w:val="none" w:sz="0" w:space="0" w:color="auto"/>
                            <w:bottom w:val="none" w:sz="0" w:space="0" w:color="auto"/>
                            <w:right w:val="none" w:sz="0" w:space="0" w:color="auto"/>
                          </w:divBdr>
                          <w:divsChild>
                            <w:div w:id="821508504">
                              <w:marLeft w:val="-240"/>
                              <w:marRight w:val="-120"/>
                              <w:marTop w:val="0"/>
                              <w:marBottom w:val="0"/>
                              <w:divBdr>
                                <w:top w:val="none" w:sz="0" w:space="0" w:color="auto"/>
                                <w:left w:val="none" w:sz="0" w:space="0" w:color="auto"/>
                                <w:bottom w:val="none" w:sz="0" w:space="0" w:color="auto"/>
                                <w:right w:val="none" w:sz="0" w:space="0" w:color="auto"/>
                              </w:divBdr>
                              <w:divsChild>
                                <w:div w:id="1914391675">
                                  <w:marLeft w:val="0"/>
                                  <w:marRight w:val="0"/>
                                  <w:marTop w:val="0"/>
                                  <w:marBottom w:val="60"/>
                                  <w:divBdr>
                                    <w:top w:val="none" w:sz="0" w:space="0" w:color="auto"/>
                                    <w:left w:val="none" w:sz="0" w:space="0" w:color="auto"/>
                                    <w:bottom w:val="none" w:sz="0" w:space="0" w:color="auto"/>
                                    <w:right w:val="none" w:sz="0" w:space="0" w:color="auto"/>
                                  </w:divBdr>
                                  <w:divsChild>
                                    <w:div w:id="126969879">
                                      <w:marLeft w:val="0"/>
                                      <w:marRight w:val="0"/>
                                      <w:marTop w:val="0"/>
                                      <w:marBottom w:val="0"/>
                                      <w:divBdr>
                                        <w:top w:val="none" w:sz="0" w:space="0" w:color="auto"/>
                                        <w:left w:val="none" w:sz="0" w:space="0" w:color="auto"/>
                                        <w:bottom w:val="none" w:sz="0" w:space="0" w:color="auto"/>
                                        <w:right w:val="none" w:sz="0" w:space="0" w:color="auto"/>
                                      </w:divBdr>
                                      <w:divsChild>
                                        <w:div w:id="23724082">
                                          <w:marLeft w:val="0"/>
                                          <w:marRight w:val="0"/>
                                          <w:marTop w:val="0"/>
                                          <w:marBottom w:val="0"/>
                                          <w:divBdr>
                                            <w:top w:val="none" w:sz="0" w:space="0" w:color="auto"/>
                                            <w:left w:val="none" w:sz="0" w:space="0" w:color="auto"/>
                                            <w:bottom w:val="none" w:sz="0" w:space="0" w:color="auto"/>
                                            <w:right w:val="none" w:sz="0" w:space="0" w:color="auto"/>
                                          </w:divBdr>
                                          <w:divsChild>
                                            <w:div w:id="502160203">
                                              <w:marLeft w:val="0"/>
                                              <w:marRight w:val="0"/>
                                              <w:marTop w:val="0"/>
                                              <w:marBottom w:val="0"/>
                                              <w:divBdr>
                                                <w:top w:val="none" w:sz="0" w:space="0" w:color="auto"/>
                                                <w:left w:val="none" w:sz="0" w:space="0" w:color="auto"/>
                                                <w:bottom w:val="none" w:sz="0" w:space="0" w:color="auto"/>
                                                <w:right w:val="none" w:sz="0" w:space="0" w:color="auto"/>
                                              </w:divBdr>
                                              <w:divsChild>
                                                <w:div w:id="1456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476389">
          <w:marLeft w:val="0"/>
          <w:marRight w:val="0"/>
          <w:marTop w:val="0"/>
          <w:marBottom w:val="0"/>
          <w:divBdr>
            <w:top w:val="none" w:sz="0" w:space="0" w:color="auto"/>
            <w:left w:val="none" w:sz="0" w:space="0" w:color="auto"/>
            <w:bottom w:val="none" w:sz="0" w:space="0" w:color="auto"/>
            <w:right w:val="none" w:sz="0" w:space="0" w:color="auto"/>
          </w:divBdr>
          <w:divsChild>
            <w:div w:id="813641557">
              <w:marLeft w:val="0"/>
              <w:marRight w:val="0"/>
              <w:marTop w:val="0"/>
              <w:marBottom w:val="0"/>
              <w:divBdr>
                <w:top w:val="none" w:sz="0" w:space="0" w:color="auto"/>
                <w:left w:val="none" w:sz="0" w:space="0" w:color="auto"/>
                <w:bottom w:val="none" w:sz="0" w:space="0" w:color="auto"/>
                <w:right w:val="none" w:sz="0" w:space="0" w:color="auto"/>
              </w:divBdr>
              <w:divsChild>
                <w:div w:id="570702957">
                  <w:marLeft w:val="0"/>
                  <w:marRight w:val="0"/>
                  <w:marTop w:val="0"/>
                  <w:marBottom w:val="0"/>
                  <w:divBdr>
                    <w:top w:val="none" w:sz="0" w:space="0" w:color="auto"/>
                    <w:left w:val="none" w:sz="0" w:space="0" w:color="auto"/>
                    <w:bottom w:val="none" w:sz="0" w:space="0" w:color="auto"/>
                    <w:right w:val="none" w:sz="0" w:space="0" w:color="auto"/>
                  </w:divBdr>
                  <w:divsChild>
                    <w:div w:id="1055473863">
                      <w:marLeft w:val="0"/>
                      <w:marRight w:val="0"/>
                      <w:marTop w:val="0"/>
                      <w:marBottom w:val="0"/>
                      <w:divBdr>
                        <w:top w:val="none" w:sz="0" w:space="0" w:color="auto"/>
                        <w:left w:val="none" w:sz="0" w:space="0" w:color="auto"/>
                        <w:bottom w:val="none" w:sz="0" w:space="0" w:color="auto"/>
                        <w:right w:val="none" w:sz="0" w:space="0" w:color="auto"/>
                      </w:divBdr>
                      <w:divsChild>
                        <w:div w:id="834033078">
                          <w:marLeft w:val="0"/>
                          <w:marRight w:val="0"/>
                          <w:marTop w:val="0"/>
                          <w:marBottom w:val="0"/>
                          <w:divBdr>
                            <w:top w:val="none" w:sz="0" w:space="0" w:color="auto"/>
                            <w:left w:val="none" w:sz="0" w:space="0" w:color="auto"/>
                            <w:bottom w:val="none" w:sz="0" w:space="0" w:color="auto"/>
                            <w:right w:val="none" w:sz="0" w:space="0" w:color="auto"/>
                          </w:divBdr>
                          <w:divsChild>
                            <w:div w:id="1402097378">
                              <w:marLeft w:val="0"/>
                              <w:marRight w:val="120"/>
                              <w:marTop w:val="0"/>
                              <w:marBottom w:val="0"/>
                              <w:divBdr>
                                <w:top w:val="none" w:sz="0" w:space="0" w:color="auto"/>
                                <w:left w:val="none" w:sz="0" w:space="0" w:color="auto"/>
                                <w:bottom w:val="none" w:sz="0" w:space="0" w:color="auto"/>
                                <w:right w:val="none" w:sz="0" w:space="0" w:color="auto"/>
                              </w:divBdr>
                              <w:divsChild>
                                <w:div w:id="426660995">
                                  <w:marLeft w:val="-300"/>
                                  <w:marRight w:val="0"/>
                                  <w:marTop w:val="0"/>
                                  <w:marBottom w:val="0"/>
                                  <w:divBdr>
                                    <w:top w:val="none" w:sz="0" w:space="0" w:color="auto"/>
                                    <w:left w:val="none" w:sz="0" w:space="0" w:color="auto"/>
                                    <w:bottom w:val="none" w:sz="0" w:space="0" w:color="auto"/>
                                    <w:right w:val="none" w:sz="0" w:space="0" w:color="auto"/>
                                  </w:divBdr>
                                </w:div>
                              </w:divsChild>
                            </w:div>
                            <w:div w:id="1407262036">
                              <w:marLeft w:val="-240"/>
                              <w:marRight w:val="-120"/>
                              <w:marTop w:val="0"/>
                              <w:marBottom w:val="0"/>
                              <w:divBdr>
                                <w:top w:val="none" w:sz="0" w:space="0" w:color="auto"/>
                                <w:left w:val="none" w:sz="0" w:space="0" w:color="auto"/>
                                <w:bottom w:val="none" w:sz="0" w:space="0" w:color="auto"/>
                                <w:right w:val="none" w:sz="0" w:space="0" w:color="auto"/>
                              </w:divBdr>
                              <w:divsChild>
                                <w:div w:id="1846482814">
                                  <w:marLeft w:val="0"/>
                                  <w:marRight w:val="0"/>
                                  <w:marTop w:val="0"/>
                                  <w:marBottom w:val="60"/>
                                  <w:divBdr>
                                    <w:top w:val="none" w:sz="0" w:space="0" w:color="auto"/>
                                    <w:left w:val="none" w:sz="0" w:space="0" w:color="auto"/>
                                    <w:bottom w:val="none" w:sz="0" w:space="0" w:color="auto"/>
                                    <w:right w:val="none" w:sz="0" w:space="0" w:color="auto"/>
                                  </w:divBdr>
                                  <w:divsChild>
                                    <w:div w:id="1839424759">
                                      <w:marLeft w:val="0"/>
                                      <w:marRight w:val="0"/>
                                      <w:marTop w:val="0"/>
                                      <w:marBottom w:val="0"/>
                                      <w:divBdr>
                                        <w:top w:val="none" w:sz="0" w:space="0" w:color="auto"/>
                                        <w:left w:val="none" w:sz="0" w:space="0" w:color="auto"/>
                                        <w:bottom w:val="none" w:sz="0" w:space="0" w:color="auto"/>
                                        <w:right w:val="none" w:sz="0" w:space="0" w:color="auto"/>
                                      </w:divBdr>
                                      <w:divsChild>
                                        <w:div w:id="1625621407">
                                          <w:marLeft w:val="0"/>
                                          <w:marRight w:val="0"/>
                                          <w:marTop w:val="0"/>
                                          <w:marBottom w:val="0"/>
                                          <w:divBdr>
                                            <w:top w:val="none" w:sz="0" w:space="0" w:color="auto"/>
                                            <w:left w:val="none" w:sz="0" w:space="0" w:color="auto"/>
                                            <w:bottom w:val="none" w:sz="0" w:space="0" w:color="auto"/>
                                            <w:right w:val="none" w:sz="0" w:space="0" w:color="auto"/>
                                          </w:divBdr>
                                          <w:divsChild>
                                            <w:div w:id="1681855685">
                                              <w:marLeft w:val="0"/>
                                              <w:marRight w:val="0"/>
                                              <w:marTop w:val="0"/>
                                              <w:marBottom w:val="0"/>
                                              <w:divBdr>
                                                <w:top w:val="none" w:sz="0" w:space="0" w:color="auto"/>
                                                <w:left w:val="none" w:sz="0" w:space="0" w:color="auto"/>
                                                <w:bottom w:val="none" w:sz="0" w:space="0" w:color="auto"/>
                                                <w:right w:val="none" w:sz="0" w:space="0" w:color="auto"/>
                                              </w:divBdr>
                                              <w:divsChild>
                                                <w:div w:id="17103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496624">
          <w:marLeft w:val="0"/>
          <w:marRight w:val="0"/>
          <w:marTop w:val="0"/>
          <w:marBottom w:val="0"/>
          <w:divBdr>
            <w:top w:val="none" w:sz="0" w:space="0" w:color="auto"/>
            <w:left w:val="none" w:sz="0" w:space="0" w:color="auto"/>
            <w:bottom w:val="none" w:sz="0" w:space="0" w:color="auto"/>
            <w:right w:val="none" w:sz="0" w:space="0" w:color="auto"/>
          </w:divBdr>
          <w:divsChild>
            <w:div w:id="332143625">
              <w:marLeft w:val="0"/>
              <w:marRight w:val="0"/>
              <w:marTop w:val="0"/>
              <w:marBottom w:val="240"/>
              <w:divBdr>
                <w:top w:val="none" w:sz="0" w:space="0" w:color="auto"/>
                <w:left w:val="none" w:sz="0" w:space="0" w:color="auto"/>
                <w:bottom w:val="none" w:sz="0" w:space="0" w:color="auto"/>
                <w:right w:val="none" w:sz="0" w:space="0" w:color="auto"/>
              </w:divBdr>
              <w:divsChild>
                <w:div w:id="911306086">
                  <w:marLeft w:val="0"/>
                  <w:marRight w:val="0"/>
                  <w:marTop w:val="0"/>
                  <w:marBottom w:val="0"/>
                  <w:divBdr>
                    <w:top w:val="none" w:sz="0" w:space="0" w:color="auto"/>
                    <w:left w:val="none" w:sz="0" w:space="0" w:color="auto"/>
                    <w:bottom w:val="none" w:sz="0" w:space="0" w:color="auto"/>
                    <w:right w:val="none" w:sz="0" w:space="0" w:color="auto"/>
                  </w:divBdr>
                  <w:divsChild>
                    <w:div w:id="1950892518">
                      <w:marLeft w:val="0"/>
                      <w:marRight w:val="0"/>
                      <w:marTop w:val="0"/>
                      <w:marBottom w:val="0"/>
                      <w:divBdr>
                        <w:top w:val="none" w:sz="0" w:space="0" w:color="auto"/>
                        <w:left w:val="none" w:sz="0" w:space="0" w:color="auto"/>
                        <w:bottom w:val="none" w:sz="0" w:space="0" w:color="auto"/>
                        <w:right w:val="none" w:sz="0" w:space="0" w:color="auto"/>
                      </w:divBdr>
                      <w:divsChild>
                        <w:div w:id="2107800861">
                          <w:marLeft w:val="0"/>
                          <w:marRight w:val="0"/>
                          <w:marTop w:val="0"/>
                          <w:marBottom w:val="0"/>
                          <w:divBdr>
                            <w:top w:val="none" w:sz="0" w:space="0" w:color="auto"/>
                            <w:left w:val="none" w:sz="0" w:space="0" w:color="auto"/>
                            <w:bottom w:val="none" w:sz="0" w:space="0" w:color="auto"/>
                            <w:right w:val="none" w:sz="0" w:space="0" w:color="auto"/>
                          </w:divBdr>
                          <w:divsChild>
                            <w:div w:id="1934362089">
                              <w:marLeft w:val="0"/>
                              <w:marRight w:val="120"/>
                              <w:marTop w:val="0"/>
                              <w:marBottom w:val="0"/>
                              <w:divBdr>
                                <w:top w:val="none" w:sz="0" w:space="0" w:color="auto"/>
                                <w:left w:val="none" w:sz="0" w:space="0" w:color="auto"/>
                                <w:bottom w:val="none" w:sz="0" w:space="0" w:color="auto"/>
                                <w:right w:val="none" w:sz="0" w:space="0" w:color="auto"/>
                              </w:divBdr>
                              <w:divsChild>
                                <w:div w:id="1228957119">
                                  <w:marLeft w:val="-300"/>
                                  <w:marRight w:val="0"/>
                                  <w:marTop w:val="0"/>
                                  <w:marBottom w:val="0"/>
                                  <w:divBdr>
                                    <w:top w:val="none" w:sz="0" w:space="0" w:color="auto"/>
                                    <w:left w:val="none" w:sz="0" w:space="0" w:color="auto"/>
                                    <w:bottom w:val="none" w:sz="0" w:space="0" w:color="auto"/>
                                    <w:right w:val="none" w:sz="0" w:space="0" w:color="auto"/>
                                  </w:divBdr>
                                </w:div>
                              </w:divsChild>
                            </w:div>
                            <w:div w:id="1258758696">
                              <w:marLeft w:val="-240"/>
                              <w:marRight w:val="-120"/>
                              <w:marTop w:val="0"/>
                              <w:marBottom w:val="0"/>
                              <w:divBdr>
                                <w:top w:val="none" w:sz="0" w:space="0" w:color="auto"/>
                                <w:left w:val="none" w:sz="0" w:space="0" w:color="auto"/>
                                <w:bottom w:val="none" w:sz="0" w:space="0" w:color="auto"/>
                                <w:right w:val="none" w:sz="0" w:space="0" w:color="auto"/>
                              </w:divBdr>
                              <w:divsChild>
                                <w:div w:id="1261916798">
                                  <w:marLeft w:val="0"/>
                                  <w:marRight w:val="0"/>
                                  <w:marTop w:val="0"/>
                                  <w:marBottom w:val="60"/>
                                  <w:divBdr>
                                    <w:top w:val="none" w:sz="0" w:space="0" w:color="auto"/>
                                    <w:left w:val="none" w:sz="0" w:space="0" w:color="auto"/>
                                    <w:bottom w:val="none" w:sz="0" w:space="0" w:color="auto"/>
                                    <w:right w:val="none" w:sz="0" w:space="0" w:color="auto"/>
                                  </w:divBdr>
                                  <w:divsChild>
                                    <w:div w:id="1883396985">
                                      <w:marLeft w:val="0"/>
                                      <w:marRight w:val="0"/>
                                      <w:marTop w:val="0"/>
                                      <w:marBottom w:val="0"/>
                                      <w:divBdr>
                                        <w:top w:val="none" w:sz="0" w:space="0" w:color="auto"/>
                                        <w:left w:val="none" w:sz="0" w:space="0" w:color="auto"/>
                                        <w:bottom w:val="none" w:sz="0" w:space="0" w:color="auto"/>
                                        <w:right w:val="none" w:sz="0" w:space="0" w:color="auto"/>
                                      </w:divBdr>
                                      <w:divsChild>
                                        <w:div w:id="846679859">
                                          <w:marLeft w:val="0"/>
                                          <w:marRight w:val="0"/>
                                          <w:marTop w:val="0"/>
                                          <w:marBottom w:val="0"/>
                                          <w:divBdr>
                                            <w:top w:val="none" w:sz="0" w:space="0" w:color="auto"/>
                                            <w:left w:val="none" w:sz="0" w:space="0" w:color="auto"/>
                                            <w:bottom w:val="none" w:sz="0" w:space="0" w:color="auto"/>
                                            <w:right w:val="none" w:sz="0" w:space="0" w:color="auto"/>
                                          </w:divBdr>
                                          <w:divsChild>
                                            <w:div w:id="1849981018">
                                              <w:marLeft w:val="0"/>
                                              <w:marRight w:val="0"/>
                                              <w:marTop w:val="0"/>
                                              <w:marBottom w:val="0"/>
                                              <w:divBdr>
                                                <w:top w:val="none" w:sz="0" w:space="0" w:color="auto"/>
                                                <w:left w:val="none" w:sz="0" w:space="0" w:color="auto"/>
                                                <w:bottom w:val="none" w:sz="0" w:space="0" w:color="auto"/>
                                                <w:right w:val="none" w:sz="0" w:space="0" w:color="auto"/>
                                              </w:divBdr>
                                              <w:divsChild>
                                                <w:div w:id="9040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876</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119</cp:revision>
  <dcterms:created xsi:type="dcterms:W3CDTF">2013-08-16T11:25:00Z</dcterms:created>
  <dcterms:modified xsi:type="dcterms:W3CDTF">2021-03-29T06:20:00Z</dcterms:modified>
</cp:coreProperties>
</file>