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0221</w:t>
      </w:r>
      <w:r>
        <w:t>)</w:t>
      </w:r>
    </w:p>
    <w:p w:rsidR="003B07E1" w:rsidRDefault="003B07E1" w:rsidP="003B07E1">
      <w:pPr>
        <w:pStyle w:val="DossierTitel"/>
      </w:pPr>
      <w:r>
        <w:t>Zwembad- en openwaterredder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Zwembad- en openwaterredder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 benaming wordt niet gebruikt in de Competentfiches K170501 'Medewerker civiele bescherming (m/v)' en G120401 'Begeleider sportactiviteiten (m/v)' maar is de geldende term binnen de sector.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Houdt toezicht in zwemgelegenheden, treedt preventief op en voorkomt ongevallen, biedt hulp en bijstand aan personen in gevaar en handelt volgens de veiligheidsvoorschriften en de urgentie- en prioriteitsvereisten teneinde de veiligheid van de bezoekers te garanderen.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2016</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Preventie</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de zwemgelegenheid en bijhorende ruimten, evalueert deze op risico’s en controleert de administratieve en reglementaire conformiteit van openbare plaatsen (inrichtingen, veiligheidssystemen, ...) (K170501 Id11213-c/13658-c/18990-c)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en kent plannen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de veiligheid van de zwemgelegenheid en gebouwen na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gevaarlijke situaties die aanleiding kunnen geven tot ongevallen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voorzieningen op en controleert deze voor ongevalspreventie, beveiliging en bescherming van zones (afbakening, signalisatie,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de aanwezigheid van nooduitgangen, interventiemiddelen en evacuatieplannen na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Motiveert het naleven van de veiligheidsvoorschriften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een rapport op van de bevindingen en meldt risico’s en gebreken aan de verantwoordelijke(n)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Bereidt veiligheidsmateriaal (reddings-, reanimatie-, EHBO-materiaal, ...) en beschermingsmateriaal (handschoenen, brillen, maskers, ...) voor en controleert de bruikbaarheid en de staat ervan  (K170501 Id16561-c)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een evaluatie uit van het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het gemis van materiaal, alsook de gebreken en afwijkingen van het aanwezige materiaal aan de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Adviseert bij de aanschaf van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het materiaal en de uitrusting gebruiksklaar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het materiaal en uitrusting op de voorziene plaats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het basisonderhoud van het materiaal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Ruimt het materiaal na gebruik op en meldt als het materiaal dat benut werd tijdens een interventie vervangen dient te worden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Houdt toezicht en werkt in teamverband  (K170501 Id18000-c)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Observeert de gebruikers van de zwemgelegenheid vanaf verschillende posities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zich op de hoogte van de risicovolle plaatsen (glijbaan, springplank, duiktoren,...) in de zwemgelegenheid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zich op volgens de afspraken in het toezichtsplan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tijdig in welke bezoekers (zwakke zwemmers,...) speciale aandacht moeten krijgen met het oog op risicovolle situaties (valpartijen, agressie, verdrinking,...)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tijdig maatregelen wanneer bezoekers zich niet aan de regels houden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ervoor dat - ook tijdens interventies - het toezicht bij de verschillende baden of zwemzones wordt gehandhaafd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Anticipeert op risicosituaties, neemt preventieve maatregelen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Is het aanspreekpunt voor de gebruikers in en rond de zwemgelegenheid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Beantwoordt adequaat de vragen van bezoekers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Reageert adequaat op klachten van de bezoekers en verwijst hen eventueel door naar de juiste persoon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Treedt op een rustige, vriendelijke en kordate manier op bij agressief en storend gedrag, bij verbaal geweld en wanneer hij/zij vaststelt dat bezoekers lastig worden gevallen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in teamverband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toe op het correct gedrag van medewerkers</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Interventie</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Bepaalt acties voor hulp en bijstand aan personen bij lichte, niet levensbedreigende ongevallen en helpt en staat slachtoffers van ongevallen bij (EHBO, evacuatie, ...)  (K170501 Id11213-c/17427-c)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het slachtoffer met een licht ongeval en roept indien nodig hulp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Handelt volgens het interventieplan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Verleent eerste hulp bij ongevallen, zowel in het water als op het droge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lichte ongevallen zoals snijwonden, brandwonden, botbreuken,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Let bij wondverzorging op de hygiëne, voorkomt infecties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Anticipeert op mogelijk besmettingsgevaar, houdt de veiligheid van zichzelf en anderen in de gaten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slachtoffers in veiligheid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Verleent bijstand en gebruikt daarbij de juiste technieken en het juiste verzorgingsmateriaal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aanwijzingen en stelt omstaanders en het slachtoffer gerust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beschermings- en veiligheidsuitrustingen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Bepaalt acties voor hulp en bijstand aan personen bij zware, levensbedreigende ongevallen in afwachting van de hulpdiensten  (K170501 Id12267-c)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de ernst van het zware ongeval en roept hulp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Handelt volgens het interventieplan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Spoort slachtoffers met zware ongevallen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Bakent de interventiezone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een ongeval volgens een welbepaalde volgorde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het slachtoffer in veiligheid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Dient de gepaste zorgen toe aan het slachtoffer (beademen, hartmassage, zuurstof toedienen, defibrilleren, bloedingen stelpen, verbanden aanleggen, brandwonden behandelen, shock behandelen, botbreuken behandelen,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de juiste techniek en het juiste materiaal voor de opdracht (verzorgingsmateriaal, reanimatietoestel,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aanwijzingen en stelt omstaanders en het slachtoffer gerust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in voor de eigen veiligheid en de veiligheid van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Delegeert de werkzaamheden zodat panieksituaties worden voorkomen (omstaanders op afstand houden, handhaven van toezicht,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opdrachten uit op bevel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beschermings- en veiligheidsuitrustingen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Bepaalt acties voor hulp en bijstand aan personen bij rampen in afwachting van de hulpdiensten  (K170501 Id12267-c)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de ernst van de ramp en roept hulp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Handelt volgens het interventieplan, de regels en de procedures van de betrokken actoren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Spoort personen in nood op, brengt slachtoffers in veiligheid en signaleert aan de hulpdiensten de aanwezigheid van eventueel andere slachtoffers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de ramp volgens een vastgelegde procedure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zone van de ramp en de gevraagde interventies vast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veiligheids-, beschermings- en risicopreventieregels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Bakent de interventiezone af en maakt ze toegankelijk voor de hulpverlening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Dient de gepaste zorgen toe aan de slachtoffers (beademen, hartmassage, zuurstof toedienen, defibrilleren, bloedingen stelpen, verbanden aanleggen, brandwonden behandelen, shock behandelen, botbreuken behandelen,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de juiste techniek en materiaal voor de opdracht (verzorgingsmateriaal, reanimatietoestel,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aanwijzingen en stelt omstaanders en slachtoffers gerust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in voor de eigen veiligheid en de veiligheid van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Delegeert de werkzaamheden zodat panieksituaties worden voorkomen (omstaanders op afstand houden, handhaven van toezicht,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opdrachten uit op bevel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beschermings- en veiligheidsuitrustingen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Informeert verantwoordelijken, gespecialiseerde hulpdiensten, ordediensten, artsen, ... over de interventies en de evolutie van de situatie  (K170501 Id13852-c)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contact met behulp van communicatiemiddelen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inlichtingen over de interventie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de stand van zaken en/of problemen aan de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informatie over gewonden of slachtoffers</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Post-interventie</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Informeert verantwoordelijken over de interventies  (K170501 Id13852-c)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contact met behulp van communicatiemiddelen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inlichtingen over de actie of interventie en stelt een ongevalsrapport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deel aan overleg bij de opstelling van rapporten</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Bijkomende taken</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Oefent met collega’s interventie- en hulpverleningstechnieken  (K170501 Id21735-c)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Oefent interventietechnieken met mede gespecialiseerde redders en actoren binnen de interventieketen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eigen fysieke conditie op peil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Oefent hulpverleningstechnieken met mede gespecialiseerde redders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Oefent het gebruik van communicatiemiddelen en -procedures in functie van het interventieplan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Bereidt het zwem- en spelmateriaal (vlotters, drijfplanken, boeien, ...) voor en controleert de bruikbaarheid en de staat ervan (K170501 Id16561-c)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een evaluatie uit van het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het gemis van materiaal, alsook de gebreken en afwijkingen van het aanwezige materiaal aan de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het materiaal en de uitrusting gebruiksklaar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het materiaal en uitrusting op de voorziene plaats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het basisonderhoud van het materiaal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erop toe dat gebruikers het materiaal opgeruimd en netjes achterlaten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Adviseert bij de aanschaf van materiaal</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Volgt de administratieve gegevens van de dienst op  (G120401 Id18038-c)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het verbruik van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het onderhoud van materiaal en meldt gebreken en tekorten aan de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mee bij de samenstelling van het ongevalsrapport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de water- en luchtkwaliteit  (co 01915)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conform de vigerende wetgeving, monsters van het water in de verschillende zwembaden en zones en vult deze gegevens in op een daarvoor bestemde lijst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Beoordeelt de kwaliteit van het water en de lucht, signaleert afwijkingen en geeft deze tijdig door aan de verantwoordelijke(n)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Houdt de zwemgelegenheid rein  (co 01916)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dat de zwemgelegenheid steeds rein is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de aangepaste kuismaterialen en producten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het gebruik van kuismateriaal en producten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het gemis van kuismateriaal en -producten aan de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Slaat gevaarlijke materialen en producten volgens de voorschriften op in de daartoe voorziene ruimten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interferentie tussen elektriciteit en water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beschermings- en preventietechnieken bij vervuiling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lucht- en waterkwaliteit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actuele Vlarem-wetgeving met betrekking tot het eigen takenpakket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veiligheid van gebouwen, toegangen en nooduitgangen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klachtenbehandeling in functie van de gebruikers van de zwemgelegenheid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materiaal (vlotters, drijfplanken, boeien,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staalname in zwemgelegenheden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interventieplan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hygiëne- en veiligheidsreglementeringen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menselijk lichaam in functie van hulpverlening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oorzaken en gevolgen van verdrinking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verdrinkingspatronen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communicatiesystemen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gevaarlijke situaties en risico’s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interventiemiddelen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mondeling en schriftelijk rapporteren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en beschermingsmaterialen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basisonderhoud van veiligheidsmaterialen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typologie van de zwemgelegenheidbezoekers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zwemgelegenheidbezoekers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verkeerd gedrag/werk van medewerkers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besmettingsgevaren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verzorgingsmateriaal en 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lichte, niet levensbedreigende ongevallen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zware, levensbedreigende ongevallen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rampen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handelingen/acties ter voorkoming van panieksituaties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interpreteren en opvolgen van bevelen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gezonde levensstijl/conditie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chloor-, zuurtegraad- en temperatuurspecificaties in zwemgelegenheden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 van kuismaterialen en toegelaten kuisproducten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ongevalspreventietechnieken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reddingstechnieken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EHBO en reanimatietechnieken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observatietechnieken en risicoplaatsen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gebruik van verzorgingsmaterialen en -toestellen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zwemtechnieken en -stijlen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toepassen van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veiligheid van de zwemgelegenheid en de bijhorende gebouwen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motiveren van derden tot naleven van veiligheidsvoorschriften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melden van risico’s en gebreken aan de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gebruiksklaar maken van veiligheidsmateriaal (redding-, reanimatie, EHBO-materiaal, ...) en beschermingsmateriaal (handschoenen, brillen, maskers,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bij de aankoop van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observeren van de zwembadgebruikers vanaf verschillende posities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detecteren van risicovolle plaatsen in de zwemgelegenheid (glijbaan, springplank, duiktoren,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welke bezoekers (zwakke zwemmers,...) speciale aandacht moeten krijgen met het oog op risicovolle situaties (valpartijen, agressie, verdrinking,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adequaat kunnen beantwoorden van vragen van bezoekers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in teamverband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ingrijpen bij verkeerd werk of gedrag van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acties voor hulp en bijstand aan personen bij lichte en zware ongevallen en rampen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van het type ongeval en handelen volgens het interventieplan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juiste verzorgingstechnieken met het juiste materiaal tijdens de hulpverlening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geruststellen van omstaanders en geven van aanwijzingen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correct kunnen gebruiken van beschermings- en veiligheidsuitrustingen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afbakenen van de interventiezone en toegankelijk maken voor de hulpverlening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evalueren van het ongeval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uitwisselen van informatie met collega’s en verantwoordelijke(n) tijdens een interventie en melden van stand van zaken en problemen aan verantwoordelijke(n), gespecialiseerde hulpdiensten, ordediensten, artsen,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instaan voor de eigen veiligheid en deze van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ongevalsrapport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deelnemen aan overleg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evalueren van het materiaal en melden van gebreken en afwijkingen aan de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administratieve gegevens van de dienst (verbruik materiaal, onderhoud, gebreken, rapporten, ...) met behulp van kantoorsoftware en het melden van tekorten en/of gebreken en afwijkingen aan de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meten van het chloorgehalte, de zuurtegraad (pH), de temperatuur van het water, de temperatuur en vochtigheid van de lucht in de zwemgelegenheid en het beoordelen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opslaan van gevaarlijke producten en materialen volgens de voorschriften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herkennen van gevaarlijke situaties en tijdig en gepast reageren met preventieve maatregelen om ongevallen te voorkomen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handhaven van toezicht -ook tijdens interventies- om (verdere) ongevallen te voorkomen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adequaat reageren op klachten van bezoekers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kordaat optreden bij agressief en storend gedrag, verbaal geweld en bij het lastig vallen van bezoekers in en rond de zwemgelegenheid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herkennen van de aard van het probleem en het inschatten van de ernst van de situatie om de noodzakelijke acties te bepalen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in veiligheid kunnen brengen van de slachtoffers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verlenen van bijstand en het toepassen van de juiste technieken en het aangewezen verzorgingsmateriaal</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bepalen van de gepaste zorgen bij zware ongevallen en rampen: beademen, hartmassage, zuurstof toedienen, defibrilleren, bloedingen stelpen, verbanden aanleggen,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bepalen en afbakenen van de interventiezone en de veiligheid van slachtoffer(s), omstaanders en eigen veiligheid verzekeren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inroepen van de juiste hulpdiensten en de reddingsactie organiseren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herkennen van een probleem en het kunnen inschatten van de situatie en een haalbare reddingsactie kunnen plannen om zoveel mogelijk slachtoffers te redden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oog  hebben voor de eigen veiligheid, de veiligheid van de omstanders en de veiligheid van het slachtoffer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alarmeren van de juiste hulpdiensten en het kunnen organiseren van een reddingsactie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rekening houden met de beschikbare hulpmiddelen en de kennis en vaardigheden van collega zwembadredders, zichzelf en eventueel omstaanders</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goed kunnen zwemmen: op de buik, op de rug, onder water, met een slachtoffer,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levensreddende handelingen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veilig te water kunnen gaan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reddingsmiddelen bij een reddingsactie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bovenhalen van een drenkeling vanop de bodem, naar de kant te vervoeren en veilig op de kant te brengen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toedienen van eerste zorgen aan gewonde slachtoffers: beademen, hartmassage, zuurstof toedienen, defibrilleren, bloedingen stelpen, verbanden aanleggen, brandwonden behandelen, shock behandelen, botbreuken behandelen,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vervoeren van een slachtoffer op het droge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inoefenen van interventie- en hulpverleningstechnieken met collega’s en het kunnen gebruiken van communicatiemiddelen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opruimen van het materiaal na gebruik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basisonderhoud aan zwembadmateriaal (vlotters, drijfplanken, boeien,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aangepaste kuismaterialen en producten om de kaden en de zwembadomgeving rein te houden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zwemgelegenheden, al dan niet overdekt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 kan worden uitgeoefend tijdens de weekdagen, in weekends en op feestdagen, ’s morgens, in de dag en ‘s avonds, en kan gepaard gaan met wachtdiensten en ploegwerk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professionele kleding is vereist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redder komt in contact met diverse groepen van bezoekers en moet hiermee probleemloos, en soms probleemoplossend, kunnen omgaan: kinderen, volwassenen, mensen met verschillende culturele en godsdienstige achtergronden, groepen jongeren, mensen met een beperking,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zwemgelegenheid is een lawaaierige omgeving vooral op drukke dagen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zwemgelegenheid is vochtig en warm en er hangt ook een permanente chloorlucht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openluchtzwemgelegenheden kan het warm en zonnig zijn, maar ook winderig en koud</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redder moet in zeer wisselende situaties ten allen tijde zijn/haar job goed uitvoeren en moet permanent alert zijn, ook tijdens het wisselen van post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redder heeft bijzondere aandacht voor de hygiëne en veiligheid van de bezoekers in en de gebruikers van de zwemgelegenheid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redder moet geconcentreerd zijn op de bezoekers en zich positioneren om de lichtweerkaatsing op het water zo veel mogelijk uit te sluiten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redder is ervan op de hoogte dat in recreatiebaden er bepaalde risicozones zijn die een verhoogde aandacht vragen om problemen te kunnen inschatten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redder moet, naast een overwegende toezichtsfunctie, in staat zijn om verantwoordelijkheid te nemen en rustig te blijven in levensbedreigende situaties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redder moet levensreddende handelingen en technieken adequaat kunnen toepassen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toezicht houden van een bepaalde zone, het organiseren van bepaalde metingen, het onderhouden van bepaalde zones in de zwemgelegenheid, een risicovolle situatie inschatten in en rond de zwemgelegenheid en beslissingen nemen om de risico’s te beperken of ingrijpen, al dan niet in overleg met mede gespecialiseerde redders indien aanwezig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geldende wetgeving met betrekking tot de veiligheid van de zwemmers, de Vlarem-wetgeving, het toezichtsplan, het huishoudelijk reglement, het arbeidsreglement gekoppeld aan de rechtspositieregeling (heeft ook bepalingen op avond en weekendwerk)</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verantwoordelijke(n) voor de werkplanning, rapportering, het signaleren van risicozones, het signaleren van defecten, het nemen van beslissingen bij slechte resultaten van de metingen (beslissingen omtrent al dan niet sluiting van het bad worden niet door hem genomen), het signaleren van een bepaald risico</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garanderen van de veiligheid van alle bezoekers in de zwemgelegenheid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toezien op hygiëne in en rondom de zwemgelegenheid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toepassen van wet- en regelgeving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zwemgelegenheid en de bijhorende ruimten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melden van gebreken, afwijkingen en ontbrekend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basisonderhoud en controleren van gebruikte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inschatten van risicovolle situaties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permanent toezicht 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preventieve acties en maatregelen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tussenkomen bij verkeerd gedrag van medewerkers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verlenen van hulp en bijstand aan personen van lichte ongevallen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toepassen van het interventieplan bij ongevallen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herkennen van het type ongeval (licht, zwaar, ramp)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inschatten van de ernst en de omvang van de ramp of ongeval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afbakenen van de interventiezone bij een ongeval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kiezen en toebrengen van de gepaste zorgen (verzorgingstechnieken en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toezien op de veiligheid van de slachtoffers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voorkomen van panieksituaties en het gerustellen van slachtoffer en omstaanders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geven van nauwkeurige informatie over de interventies aan de verantwoordelijke(n), gespecialiseerde hulpdiensten, ordediensten, artsen,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toepassen van veiligheids-, beschermings- en risicopreventieregels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en controleren van het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adequaat reageren op klachten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de administratieve gegevens van de dienst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water- en luchtkwaliteit (chloorgehalte, zuurtegraad, temperatuur, vochtigheid,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 peil houden van de eigen fysieke conditie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opslaan van gevaarlijke materialen en producten volgens voorschriften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De beroepsbeoefenaar moet ten minste eenmaal per jaar een wettelijke nascholing in reddings- en reanimatietechnieken volgen. Het getuigschrift van de meest recente bijscholing ligt ter inzage van de toezichthoudende ambtenaar op de plaats van de exploitatie. Bovenvermelde bijscholing moet erkend zijn door het Bloso (Vlarem II art. 5.32.9.2.2.§3.6).</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