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Behoudsmedewerker erfgoed</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BK-0431-2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Behoudsmedewerker erfgoed</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behoudsmedewerker erfgoed volgt de toestand van kunst- en erfgoedobjecten op, controleert en neemt acties na overleg met de verantwoordelijke expert teneinde de objectveilige bewaring en goede instandhouding van de collecties, de (archief)bestanden of het interieur van een monument te bewaken.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Ontwikkelt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Blijft op de hoogte van relevante nieuwe inzichten en methodes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een netwerk met collega-erfgoedwerkers binnen en buiten de organisatie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erfgoedsector</w:t>
      </w:r>
      <w:r w:rsidRPr="000F2A0A">
        <w:rPr>
          <w:sz w:val="22"/>
        </w:rPr>
        <w:t/>
      </w:r>
    </w:p>
    <w:p w:rsidR="000F2A0A" w:rsidRDefault="000F2A0A" w:rsidP="000F2A0A">
      <w:pPr>
        <w:pStyle w:val="Voetnoot"/>
        <w:numPr>
          <w:ilvl w:val="1"/>
          <w:numId w:val="14"/>
        </w:numPr>
      </w:pPr>
      <w:r w:rsidRPr="000F2A0A">
        <w:rPr>
          <w:sz w:val="22"/>
        </w:rPr>
        <w:t/>
      </w:r>
      <w:r>
        <w:rPr>
          <w:sz w:val="22"/>
        </w:rPr>
        <w:t>Kennis van relevante (nieuwe) inzichten en methodes voor het omgaan met erfgoedobjecten en (archief)bestanden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Gaat op een methodische en deontologische manier om met erfgoed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specifieke deontologische codes toe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methodologie en procedures voor collectiemanagement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Belgische en Europese  normen toe met betrekking tot conservatie-restauratie van cultureel erfgoed</w:t>
      </w:r>
    </w:p>
    <w:p w:rsidR="000F2A0A" w:rsidRPr="006E4AD8" w:rsidRDefault="002C5C20" w:rsidP="002C5C20">
      <w:pPr>
        <w:pStyle w:val="Voetnoot"/>
        <w:rPr>
          <w:lang w:val="en-US"/>
        </w:rPr>
      </w:pPr>
      <w:r w:rsidRPr="006E4AD8">
        <w:rPr>
          <w:lang w:val="en-US"/>
        </w:rPr>
        <w:t/>
      </w:r>
      <w:r w:rsidRPr="006E4AD8">
        <w:rPr>
          <w:lang w:val="en-US"/>
        </w:rPr>
        <w:br/>
        <w:t>* ICOM (International Council of Museums), ECCO (European Confederation of Conservator-Restorers Organisations), IFLA (International Federation of Library Associations), ICA (International Council on Archives)</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deontologische codes (ICOM, ECCO, IFLA, ICA,...)</w:t>
      </w:r>
      <w:r w:rsidRPr="000F2A0A">
        <w:rPr>
          <w:sz w:val="22"/>
        </w:rPr>
        <w:t/>
      </w:r>
    </w:p>
    <w:p w:rsidR="000F2A0A" w:rsidRDefault="000F2A0A" w:rsidP="000F2A0A">
      <w:pPr>
        <w:pStyle w:val="Voetnoot"/>
        <w:numPr>
          <w:ilvl w:val="1"/>
          <w:numId w:val="14"/>
        </w:numPr>
      </w:pPr>
      <w:r w:rsidRPr="000F2A0A">
        <w:rPr>
          <w:sz w:val="22"/>
        </w:rPr>
        <w:t/>
      </w:r>
      <w:r>
        <w:rPr>
          <w:sz w:val="22"/>
        </w:rPr>
        <w:t>Kennis van methodologie en procedures voor collectiemanagement (zoals bv. de Spectrum-standaard)</w:t>
      </w:r>
      <w:r w:rsidRPr="000F2A0A">
        <w:rPr>
          <w:sz w:val="22"/>
        </w:rPr>
        <w:t/>
      </w:r>
    </w:p>
    <w:p w:rsidR="000F2A0A" w:rsidRDefault="000F2A0A" w:rsidP="000F2A0A">
      <w:pPr>
        <w:pStyle w:val="Voetnoot"/>
        <w:numPr>
          <w:ilvl w:val="1"/>
          <w:numId w:val="14"/>
        </w:numPr>
      </w:pPr>
      <w:r w:rsidRPr="000F2A0A">
        <w:rPr>
          <w:sz w:val="22"/>
        </w:rPr>
        <w:t/>
      </w:r>
      <w:r>
        <w:rPr>
          <w:sz w:val="22"/>
        </w:rPr>
        <w:t>Kennis van Belgische en Europese normen (zoals EN16095, EN16096 en EN16141)</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Volgt de toestand van bewaring van de objecten op onder toezicht van de verantwoordelijke expert, zowel in depot als in tentoonstelling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Monitort de bewaaromstandigheden van de directe en indirecte omgeving (klimaat, licht en verontreiniging)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en signaleert mogelijke schadefactoren (de tien risicofactoren: water, verkeerde temperatuur, brand, verkeerde relatieve luchtvochtigheid, diefstal en vandalisme, verontreiniging, licht, ongedierte en schimmel, verlies van informatie, fysieke krachten)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richtlijnen van experten op i.v.m. de optimale bewaaromstandigheden om de toestand van de objecten maximaal te stabiliseren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algemene toestand/conditie van de objecten of materialen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Achterhaalt conditie-evoluties aan de hand van beschikbare documentatie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mogelijke acties voor aan de verantwoordelijke expert in functie van de objectnoden en binnen de geldende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het depot en de collectie (ontstoffen, IPM-controles uitvoeren,...)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bediening van technische apparatuur (bv. bevochtigers en ontvochtigers, meetapparatuur,...)</w:t>
      </w:r>
      <w:r w:rsidRPr="000F2A0A">
        <w:rPr>
          <w:sz w:val="22"/>
        </w:rPr>
        <w:t/>
      </w:r>
    </w:p>
    <w:p w:rsidR="000F2A0A" w:rsidRDefault="000F2A0A" w:rsidP="000F2A0A">
      <w:pPr>
        <w:pStyle w:val="Voetnoot"/>
        <w:numPr>
          <w:ilvl w:val="1"/>
          <w:numId w:val="14"/>
        </w:numPr>
      </w:pPr>
      <w:r w:rsidRPr="000F2A0A">
        <w:rPr>
          <w:sz w:val="22"/>
        </w:rPr>
        <w:t/>
      </w:r>
      <w:r>
        <w:rPr>
          <w:sz w:val="22"/>
        </w:rPr>
        <w:t>Kennis van de materiaal-technische en constructieaspecten van objecten</w:t>
      </w:r>
      <w:r w:rsidRPr="000F2A0A">
        <w:rPr>
          <w:sz w:val="22"/>
        </w:rPr>
        <w:t/>
      </w:r>
    </w:p>
    <w:p w:rsidR="000F2A0A" w:rsidRDefault="000F2A0A" w:rsidP="000F2A0A">
      <w:pPr>
        <w:pStyle w:val="Voetnoot"/>
        <w:numPr>
          <w:ilvl w:val="1"/>
          <w:numId w:val="14"/>
        </w:numPr>
      </w:pPr>
      <w:r w:rsidRPr="000F2A0A">
        <w:rPr>
          <w:sz w:val="22"/>
        </w:rPr>
        <w:t/>
      </w:r>
      <w:r>
        <w:rPr>
          <w:sz w:val="22"/>
        </w:rPr>
        <w:t>Kennis van preventieve conservatie</w:t>
      </w:r>
      <w:r w:rsidRPr="000F2A0A">
        <w:rPr>
          <w:sz w:val="22"/>
        </w:rPr>
        <w:t/>
      </w:r>
    </w:p>
    <w:p w:rsidR="000F2A0A" w:rsidRDefault="000F2A0A" w:rsidP="000F2A0A">
      <w:pPr>
        <w:pStyle w:val="Voetnoot"/>
        <w:numPr>
          <w:ilvl w:val="1"/>
          <w:numId w:val="14"/>
        </w:numPr>
      </w:pPr>
      <w:r w:rsidRPr="000F2A0A">
        <w:rPr>
          <w:sz w:val="22"/>
        </w:rPr>
        <w:t/>
      </w:r>
      <w:r>
        <w:rPr>
          <w:sz w:val="22"/>
        </w:rPr>
        <w:t>Kennis van IPM (Integrated Pest Management)-controles</w:t>
      </w:r>
      <w:r w:rsidRPr="000F2A0A">
        <w:rPr>
          <w:sz w:val="22"/>
        </w:rPr>
        <w:t/>
      </w:r>
    </w:p>
    <w:p w:rsidR="000F2A0A" w:rsidRDefault="000F2A0A" w:rsidP="000F2A0A">
      <w:pPr>
        <w:pStyle w:val="Voetnoot"/>
        <w:numPr>
          <w:ilvl w:val="1"/>
          <w:numId w:val="14"/>
        </w:numPr>
      </w:pPr>
      <w:r w:rsidRPr="000F2A0A">
        <w:rPr>
          <w:sz w:val="22"/>
        </w:rPr>
        <w:t/>
      </w:r>
      <w:r>
        <w:rPr>
          <w:sz w:val="22"/>
        </w:rPr>
        <w:t>Kennis van de procedures beschreven in het collectiebeleidsplan van de beheerder</w:t>
      </w:r>
      <w:r w:rsidRPr="000F2A0A">
        <w:rPr>
          <w:sz w:val="22"/>
        </w:rPr>
        <w:t/>
      </w:r>
    </w:p>
    <w:p w:rsidR="000F2A0A" w:rsidRDefault="000F2A0A" w:rsidP="000F2A0A">
      <w:pPr>
        <w:pStyle w:val="Voetnoot"/>
        <w:numPr>
          <w:ilvl w:val="1"/>
          <w:numId w:val="14"/>
        </w:numPr>
      </w:pPr>
      <w:r w:rsidRPr="000F2A0A">
        <w:rPr>
          <w:sz w:val="22"/>
        </w:rPr>
        <w:t/>
      </w:r>
      <w:r>
        <w:rPr>
          <w:sz w:val="22"/>
        </w:rPr>
        <w:t>Grondige kennis van de meest voorkomende schadefactoren en schadebeelden die erfgoed kunnen bedreigen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Volgt de bewaring en de interne verplaatsing van objecten op en draagt bij tot de veilige en deskundige handling onder toezicht van de verantwoordelijke expert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de objecten veilig in samenspraak met de verantwoordelijke expert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geschikte hulpmiddelen bij verplaatsing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standplaatsregistraties bij van elk object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algemene conditie van het object voor, tijdens en na het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installatie van de objecten die tentoongesteld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eenvoudige ondersteuningsvormen op maat voor objecten (passe-partouts, boekensteunen,…)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collectieregistratiesysteem</w:t>
      </w:r>
      <w:r w:rsidRPr="000F2A0A">
        <w:rPr>
          <w:sz w:val="22"/>
        </w:rPr>
        <w:t/>
      </w:r>
    </w:p>
    <w:p w:rsidR="000F2A0A" w:rsidRDefault="000F2A0A" w:rsidP="000F2A0A">
      <w:pPr>
        <w:pStyle w:val="Voetnoot"/>
        <w:numPr>
          <w:ilvl w:val="1"/>
          <w:numId w:val="14"/>
        </w:numPr>
      </w:pPr>
      <w:r w:rsidRPr="000F2A0A">
        <w:rPr>
          <w:sz w:val="22"/>
        </w:rPr>
        <w:t/>
      </w:r>
      <w:r>
        <w:rPr>
          <w:sz w:val="22"/>
        </w:rPr>
        <w:t>Kennis van de bediening van technische apparatuur (bv. bevochtigers en ontvochtigers, meetapparatuur,...)</w:t>
      </w:r>
      <w:r w:rsidRPr="000F2A0A">
        <w:rPr>
          <w:sz w:val="22"/>
        </w:rPr>
        <w:t/>
      </w:r>
    </w:p>
    <w:p w:rsidR="000F2A0A" w:rsidRDefault="000F2A0A" w:rsidP="000F2A0A">
      <w:pPr>
        <w:pStyle w:val="Voetnoot"/>
        <w:numPr>
          <w:ilvl w:val="1"/>
          <w:numId w:val="14"/>
        </w:numPr>
      </w:pPr>
      <w:r w:rsidRPr="000F2A0A">
        <w:rPr>
          <w:sz w:val="22"/>
        </w:rPr>
        <w:t/>
      </w:r>
      <w:r>
        <w:rPr>
          <w:sz w:val="22"/>
        </w:rPr>
        <w:t>Kennis van de materiaal-technische en constructieaspecten van objecten</w:t>
      </w:r>
      <w:r w:rsidRPr="000F2A0A">
        <w:rPr>
          <w:sz w:val="22"/>
        </w:rPr>
        <w:t/>
      </w:r>
    </w:p>
    <w:p w:rsidR="000F2A0A" w:rsidRDefault="000F2A0A" w:rsidP="000F2A0A">
      <w:pPr>
        <w:pStyle w:val="Voetnoot"/>
        <w:numPr>
          <w:ilvl w:val="1"/>
          <w:numId w:val="14"/>
        </w:numPr>
      </w:pPr>
      <w:r w:rsidRPr="000F2A0A">
        <w:rPr>
          <w:sz w:val="22"/>
        </w:rPr>
        <w:t/>
      </w:r>
      <w:r>
        <w:rPr>
          <w:sz w:val="22"/>
        </w:rPr>
        <w:t>Kennis van art-handlingstechnieken om kunst- en erfgoedobjecten te verplaatsen</w:t>
      </w:r>
      <w:r w:rsidRPr="000F2A0A">
        <w:rPr>
          <w:sz w:val="22"/>
        </w:rPr>
        <w:t/>
      </w:r>
    </w:p>
    <w:p w:rsidR="000F2A0A" w:rsidRDefault="000F2A0A" w:rsidP="000F2A0A">
      <w:pPr>
        <w:pStyle w:val="Voetnoot"/>
        <w:numPr>
          <w:ilvl w:val="1"/>
          <w:numId w:val="14"/>
        </w:numPr>
      </w:pPr>
      <w:r w:rsidRPr="000F2A0A">
        <w:rPr>
          <w:sz w:val="22"/>
        </w:rPr>
        <w:t/>
      </w:r>
      <w:r>
        <w:rPr>
          <w:sz w:val="22"/>
        </w:rPr>
        <w:t>Kennis van hef- en tiltechnieken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verpakkingsmaterialen en –methodes volgens de specifieke (conservatie)noden van ieder object</w:t>
      </w:r>
      <w:r w:rsidRPr="000F2A0A">
        <w:rPr>
          <w:sz w:val="22"/>
        </w:rPr>
        <w:t/>
      </w:r>
    </w:p>
    <w:p w:rsidR="000F2A0A" w:rsidRDefault="000F2A0A" w:rsidP="000F2A0A">
      <w:pPr>
        <w:pStyle w:val="Voetnoot"/>
        <w:numPr>
          <w:ilvl w:val="1"/>
          <w:numId w:val="14"/>
        </w:numPr>
      </w:pPr>
      <w:r w:rsidRPr="000F2A0A">
        <w:rPr>
          <w:sz w:val="22"/>
        </w:rPr>
        <w:t/>
      </w:r>
      <w:r>
        <w:rPr>
          <w:sz w:val="22"/>
        </w:rPr>
        <w:t>Grondige kennis van de meest voorkomende schadefactoren en schadebeelden die erfgoed kunnen bedreigen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Zorgt voor het externe vervoer van objecten en objectveilige en deskundige handling, in samenspraak met de verantwoordelijke expert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de objecten veilig in samenspraak met de verantwoordelijke expert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algemene conditie van het object voor, tijdens en na het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geschikte hulpmiddelen bij verplaatsing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standplaatsregistraties bij van elk object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eventueel het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collectieregistratiesysteem</w:t>
      </w:r>
      <w:r w:rsidRPr="000F2A0A">
        <w:rPr>
          <w:sz w:val="22"/>
        </w:rPr>
        <w:t/>
      </w:r>
    </w:p>
    <w:p w:rsidR="000F2A0A" w:rsidRDefault="000F2A0A" w:rsidP="000F2A0A">
      <w:pPr>
        <w:pStyle w:val="Voetnoot"/>
        <w:numPr>
          <w:ilvl w:val="1"/>
          <w:numId w:val="14"/>
        </w:numPr>
      </w:pPr>
      <w:r w:rsidRPr="000F2A0A">
        <w:rPr>
          <w:sz w:val="22"/>
        </w:rPr>
        <w:t/>
      </w:r>
      <w:r>
        <w:rPr>
          <w:sz w:val="22"/>
        </w:rPr>
        <w:t>Kennis van de bediening van technische apparatuur (bv. bevochtigers en ontvochtigers, meetapparatuur,...)</w:t>
      </w:r>
      <w:r w:rsidRPr="000F2A0A">
        <w:rPr>
          <w:sz w:val="22"/>
        </w:rPr>
        <w:t/>
      </w:r>
    </w:p>
    <w:p w:rsidR="000F2A0A" w:rsidRDefault="000F2A0A" w:rsidP="000F2A0A">
      <w:pPr>
        <w:pStyle w:val="Voetnoot"/>
        <w:numPr>
          <w:ilvl w:val="1"/>
          <w:numId w:val="14"/>
        </w:numPr>
      </w:pPr>
      <w:r w:rsidRPr="000F2A0A">
        <w:rPr>
          <w:sz w:val="22"/>
        </w:rPr>
        <w:t/>
      </w:r>
      <w:r>
        <w:rPr>
          <w:sz w:val="22"/>
        </w:rPr>
        <w:t>Kennis van de materiaal-technische en constructieaspecten van objecten</w:t>
      </w:r>
      <w:r w:rsidRPr="000F2A0A">
        <w:rPr>
          <w:sz w:val="22"/>
        </w:rPr>
        <w:t/>
      </w:r>
    </w:p>
    <w:p w:rsidR="000F2A0A" w:rsidRDefault="000F2A0A" w:rsidP="000F2A0A">
      <w:pPr>
        <w:pStyle w:val="Voetnoot"/>
        <w:numPr>
          <w:ilvl w:val="1"/>
          <w:numId w:val="14"/>
        </w:numPr>
      </w:pPr>
      <w:r w:rsidRPr="000F2A0A">
        <w:rPr>
          <w:sz w:val="22"/>
        </w:rPr>
        <w:t/>
      </w:r>
      <w:r>
        <w:rPr>
          <w:sz w:val="22"/>
        </w:rPr>
        <w:t>Kennis van art-handlingstechnieken om kunst- en erfgoedobjecten te verplaatsen</w:t>
      </w:r>
      <w:r w:rsidRPr="000F2A0A">
        <w:rPr>
          <w:sz w:val="22"/>
        </w:rPr>
        <w:t/>
      </w:r>
    </w:p>
    <w:p w:rsidR="000F2A0A" w:rsidRDefault="000F2A0A" w:rsidP="000F2A0A">
      <w:pPr>
        <w:pStyle w:val="Voetnoot"/>
        <w:numPr>
          <w:ilvl w:val="1"/>
          <w:numId w:val="14"/>
        </w:numPr>
      </w:pPr>
      <w:r w:rsidRPr="000F2A0A">
        <w:rPr>
          <w:sz w:val="22"/>
        </w:rPr>
        <w:t/>
      </w:r>
      <w:r>
        <w:rPr>
          <w:sz w:val="22"/>
        </w:rPr>
        <w:t>Kennis van hef- en tiltechnieken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verpakkingsmaterialen en –methodes volgens de specifieke (conservatie)noden van ieder object</w:t>
      </w:r>
      <w:r w:rsidRPr="000F2A0A">
        <w:rPr>
          <w:sz w:val="22"/>
        </w:rPr>
        <w:t/>
      </w:r>
    </w:p>
    <w:p w:rsidR="000F2A0A" w:rsidRDefault="000F2A0A" w:rsidP="000F2A0A">
      <w:pPr>
        <w:pStyle w:val="Voetnoot"/>
        <w:numPr>
          <w:ilvl w:val="1"/>
          <w:numId w:val="14"/>
        </w:numPr>
      </w:pPr>
      <w:r w:rsidRPr="000F2A0A">
        <w:rPr>
          <w:sz w:val="22"/>
        </w:rPr>
        <w:t/>
      </w:r>
      <w:r>
        <w:rPr>
          <w:sz w:val="22"/>
        </w:rPr>
        <w:t>Grondige kennis van de meest voorkomende schadefactoren en schadebeelden die erfgoed kunnen bedreigen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Zorgt voor de veilige en deskundige opvolging van inkomende en uitgaande objecten (nieuwe aanwinsten, bruikleenverkeer,…), in samenspraak met de verantwoordelijke expert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objecten in quarantaine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Monitort de evolutie van de objecten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en rapporteert aan de verantwoordelijke schadevaststelling en/ of contaminatiegevaar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verantwoordelijke over de nodige acties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deze acties eventueel zelf uit (invriezen, oppervlakkig reinigen, schonen van archiefstukken, ontsmetten, uitvoeren van anoxiebehandeling,...)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bediening van technische apparatuur (bv. bevochtigers en ontvochtigers, meetapparatuur,...)</w:t>
      </w:r>
      <w:r w:rsidRPr="000F2A0A">
        <w:rPr>
          <w:sz w:val="22"/>
        </w:rPr>
        <w:t/>
      </w:r>
    </w:p>
    <w:p w:rsidR="000F2A0A" w:rsidRDefault="000F2A0A" w:rsidP="000F2A0A">
      <w:pPr>
        <w:pStyle w:val="Voetnoot"/>
        <w:numPr>
          <w:ilvl w:val="1"/>
          <w:numId w:val="14"/>
        </w:numPr>
      </w:pPr>
      <w:r w:rsidRPr="000F2A0A">
        <w:rPr>
          <w:sz w:val="22"/>
        </w:rPr>
        <w:t/>
      </w:r>
      <w:r>
        <w:rPr>
          <w:sz w:val="22"/>
        </w:rPr>
        <w:t>Kennis van de materiaal-technische en constructieaspecten van objecten</w:t>
      </w:r>
      <w:r w:rsidRPr="000F2A0A">
        <w:rPr>
          <w:sz w:val="22"/>
        </w:rPr>
        <w:t/>
      </w:r>
    </w:p>
    <w:p w:rsidR="000F2A0A" w:rsidRDefault="000F2A0A" w:rsidP="000F2A0A">
      <w:pPr>
        <w:pStyle w:val="Voetnoot"/>
        <w:numPr>
          <w:ilvl w:val="1"/>
          <w:numId w:val="14"/>
        </w:numPr>
      </w:pPr>
      <w:r w:rsidRPr="000F2A0A">
        <w:rPr>
          <w:sz w:val="22"/>
        </w:rPr>
        <w:t/>
      </w:r>
      <w:r>
        <w:rPr>
          <w:sz w:val="22"/>
        </w:rPr>
        <w:t>Kennis van art-handlingstechnieken om kunst- en erfgoedobjecten te verplaatsen</w:t>
      </w:r>
      <w:r w:rsidRPr="000F2A0A">
        <w:rPr>
          <w:sz w:val="22"/>
        </w:rPr>
        <w:t/>
      </w:r>
    </w:p>
    <w:p w:rsidR="000F2A0A" w:rsidRDefault="000F2A0A" w:rsidP="000F2A0A">
      <w:pPr>
        <w:pStyle w:val="Voetnoot"/>
        <w:numPr>
          <w:ilvl w:val="1"/>
          <w:numId w:val="14"/>
        </w:numPr>
      </w:pPr>
      <w:r w:rsidRPr="000F2A0A">
        <w:rPr>
          <w:sz w:val="22"/>
        </w:rPr>
        <w:t/>
      </w:r>
      <w:r>
        <w:rPr>
          <w:sz w:val="22"/>
        </w:rPr>
        <w:t>Kennis van relevante inzichten en methodes voor omgaan met objecten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meest voorkomende schadefactoren en schadebeelden die erfgoed kunnen bedreigen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Brengt de juiste labels en identificatiegegevens aan op objecten, depotmeubilair en verpakkingen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toe rond de meest geschikte methode en plaats per object/materiaalsoort met oog voor diens kwetsbaarheid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duidelijk leesbare labeling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collectieregistratiesysteem</w:t>
      </w:r>
      <w:r w:rsidRPr="000F2A0A">
        <w:rPr>
          <w:sz w:val="22"/>
        </w:rPr>
        <w:t/>
      </w:r>
    </w:p>
    <w:p w:rsidR="000F2A0A" w:rsidRDefault="000F2A0A" w:rsidP="000F2A0A">
      <w:pPr>
        <w:pStyle w:val="Voetnoot"/>
        <w:numPr>
          <w:ilvl w:val="1"/>
          <w:numId w:val="14"/>
        </w:numPr>
      </w:pPr>
      <w:r w:rsidRPr="000F2A0A">
        <w:rPr>
          <w:sz w:val="22"/>
        </w:rPr>
        <w:t/>
      </w:r>
      <w:r>
        <w:rPr>
          <w:sz w:val="22"/>
        </w:rPr>
        <w:t>Kennis van de materiaal-technische en constructieaspecten van objecten</w:t>
      </w:r>
      <w:r w:rsidRPr="000F2A0A">
        <w:rPr>
          <w:sz w:val="22"/>
        </w:rPr>
        <w:t/>
      </w:r>
    </w:p>
    <w:p w:rsidR="000F2A0A" w:rsidRDefault="000F2A0A" w:rsidP="000F2A0A">
      <w:pPr>
        <w:pStyle w:val="Voetnoot"/>
        <w:numPr>
          <w:ilvl w:val="1"/>
          <w:numId w:val="14"/>
        </w:numPr>
      </w:pPr>
      <w:r w:rsidRPr="000F2A0A">
        <w:rPr>
          <w:sz w:val="22"/>
        </w:rPr>
        <w:t/>
      </w:r>
      <w:r>
        <w:rPr>
          <w:sz w:val="22"/>
        </w:rPr>
        <w:t>Kennis van fysieke labeling aan objecten en aan depotmeubilair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Staat in voor de veiligheid van de objecten en de werkomstandigheden, na instructies van de verantwoordelijke expert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Waakt over de veiligheid van de objecten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nodige maatregelen voor de persoonlijke en collectieve veiligheid volgens de voorschriften (ergonomie, toxische producten en materialen, schimmels, materialen en 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het preventie- en calamiteitenplan actueel in samenspraak met de verantwoordelijke expert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preventieve conservatie</w:t>
      </w:r>
      <w:r w:rsidRPr="000F2A0A">
        <w:rPr>
          <w:sz w:val="22"/>
        </w:rPr>
        <w:t/>
      </w:r>
    </w:p>
    <w:p w:rsidR="000F2A0A" w:rsidRDefault="000F2A0A" w:rsidP="000F2A0A">
      <w:pPr>
        <w:pStyle w:val="Voetnoot"/>
        <w:numPr>
          <w:ilvl w:val="1"/>
          <w:numId w:val="14"/>
        </w:numPr>
      </w:pPr>
      <w:r w:rsidRPr="000F2A0A">
        <w:rPr>
          <w:sz w:val="22"/>
        </w:rPr>
        <w:t/>
      </w:r>
      <w:r>
        <w:rPr>
          <w:sz w:val="22"/>
        </w:rPr>
        <w:t>Kennis van wettelijke richtlijnen van veiligheid</w:t>
      </w:r>
      <w:r w:rsidRPr="000F2A0A">
        <w:rPr>
          <w:sz w:val="22"/>
        </w:rPr>
        <w:t/>
      </w:r>
    </w:p>
    <w:p w:rsidR="000F2A0A" w:rsidRDefault="000F2A0A" w:rsidP="000F2A0A">
      <w:pPr>
        <w:pStyle w:val="Voetnoot"/>
        <w:numPr>
          <w:ilvl w:val="1"/>
          <w:numId w:val="14"/>
        </w:numPr>
      </w:pPr>
      <w:r w:rsidRPr="000F2A0A">
        <w:rPr>
          <w:sz w:val="22"/>
        </w:rPr>
        <w:t/>
      </w:r>
      <w:r>
        <w:rPr>
          <w:sz w:val="22"/>
        </w:rPr>
        <w:t>Kennis van het preventie- en calamiteitenplan van de instelling</w:t>
      </w:r>
      <w:r w:rsidRPr="000F2A0A">
        <w:rPr>
          <w:sz w:val="22"/>
        </w:rPr>
        <w:t/>
      </w:r>
    </w:p>
    <w:p w:rsidR="000F2A0A" w:rsidRDefault="000F2A0A" w:rsidP="000F2A0A">
      <w:pPr>
        <w:pStyle w:val="Voetnoot"/>
        <w:numPr>
          <w:ilvl w:val="1"/>
          <w:numId w:val="14"/>
        </w:numPr>
      </w:pPr>
      <w:r w:rsidRPr="000F2A0A">
        <w:rPr>
          <w:sz w:val="22"/>
        </w:rPr>
        <w:t/>
      </w:r>
      <w:r>
        <w:rPr>
          <w:sz w:val="22"/>
        </w:rPr>
        <w:t>Kennis van PBM en CBM</w:t>
      </w:r>
      <w:r w:rsidRPr="000F2A0A">
        <w:rPr>
          <w:sz w:val="22"/>
        </w:rPr>
        <w:t/>
      </w:r>
    </w:p>
    <w:p w:rsidR="000F2A0A" w:rsidRDefault="000F2A0A" w:rsidP="000F2A0A">
      <w:pPr>
        <w:pStyle w:val="Voetnoot"/>
        <w:numPr>
          <w:ilvl w:val="1"/>
          <w:numId w:val="14"/>
        </w:numPr>
      </w:pPr>
      <w:r w:rsidRPr="000F2A0A">
        <w:rPr>
          <w:sz w:val="22"/>
        </w:rPr>
        <w:t/>
      </w:r>
      <w:r>
        <w:rPr>
          <w:sz w:val="22"/>
        </w:rPr>
        <w:t>Grondige kennis van de meest voorkomende schadefactoren en schadebeelden die erfgoed kunnen bedreigen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Volgt de (administratieve) procedures binnen de instelling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gegevens nauwkeurig in een databank in volgens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procedures voor het digitaliseren nauwgezet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gegevens en prijzen op van verbruiksmateriaal en 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de eigen documentatie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collectieregistratiesysteem</w:t>
      </w:r>
      <w:r w:rsidRPr="000F2A0A">
        <w:rPr>
          <w:sz w:val="22"/>
        </w:rPr>
        <w:t/>
      </w:r>
    </w:p>
    <w:p w:rsidR="000F2A0A" w:rsidRDefault="000F2A0A" w:rsidP="000F2A0A">
      <w:pPr>
        <w:pStyle w:val="Voetnoot"/>
        <w:numPr>
          <w:ilvl w:val="1"/>
          <w:numId w:val="14"/>
        </w:numPr>
      </w:pPr>
      <w:r w:rsidRPr="000F2A0A">
        <w:rPr>
          <w:sz w:val="22"/>
        </w:rPr>
        <w:t/>
      </w:r>
      <w:r>
        <w:rPr>
          <w:sz w:val="22"/>
        </w:rPr>
        <w:t>Basiskennis van digitalisering</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erfgoedsector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collectieregistratiesysteem</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digitalisering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deontologische codes (ICOM, ECCO, IFLA, 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bediening van technische apparatuur (bv. bevochtigers en ontvochtigers, meetapparatuur,...)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materiaal-technische en constructieaspecten van objecten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preventieve conservatie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art-handlingstechnieken om kunst- en erfgoedobjecten te verplaatsen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fysieke labeling aan objecten en aan depotmeubilair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wettelijke richtlijnen van 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preventie- en calamiteitenplan van de instelling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inzichten en methodes voor omgaan met objecten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methodologie en procedures voor collectiemanagement (zoals bv. de Spectrum-standaard)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Belgische en Europese normen (zoals EN16095, EN16096 en EN16141)</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IPM (Integrated Pest Management)-controles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procedures beschreven in het collectiebeleidsplan van de beheerder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 en CBM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(nieuwe) inzichten en methodes voor het omgaan met erfgoedobjecten en (archief)bestanden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verpakkingsmaterialen en –methodes volgens de specifieke (conservatie)noden van ieder object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meest voorkomende schadefactoren en schadebeelden die erfgoed kunnen bedreigen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Blijft op de hoogte van relevante nieuwe inzichten en methodes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Onderhoudt een netwerk met collega-erfgoedwerkers binnen en buiten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specifieke deontologische codes toe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Belgische en Europese  normen toe met betrekking tot conservatie-restauratie van cultureel erfgoed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Monitort de bewaaromstandigheden van de directe en indirecte omgeving (klimaat, licht en verontreiniging)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Detecteert en signaleert mogelijke schadefactoren (de tien risicofactoren: water, verkeerde temperatuur, brand, verkeerde relatieve luchtvochtigheid, diefstal en vandalisme, verontreiniging, licht, ongedierte en schimmel, verlies van informatie, fysieke krachten)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richtlijnen van experten op i.v.m. de optimale bewaaromstandigheden om de toestand van de objecten maximaal te stabiliseren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algemene toestand/conditie van de objecten of materialen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Achterhaalt conditie-evoluties aan de hand van beschikbare documentatie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standplaatsregistraties bij van elk object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algemene conditie van het object voor, tijdens en na het transport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standplaatsregistraties bij van elk object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Monitort de evolutie van de objecten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verantwoordelijke over de nodige acties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richtlijnen toe rond de meest geschikte methode en plaats per object/materiaalsoort met oog voor diens kwetsbaarheid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Waakt over de veiligheid van de objecten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het preventie- en calamiteitenplan actueel in samenspraak met de verantwoordelijke expert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gegevens nauwkeurig in een databank in volgens de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gegevens en prijzen op van verbruiksmateriaal en 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de eigen documentatie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methodologie en procedures voor collectiemanagement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procedures voor het digitaliseren nauwgezet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algemene conditie van het object voor, tijdens en na het transport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methodologie en procedures voor collectiemanagement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procedures voor het digitaliseren nauwgezet op</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mogelijke acties voor aan de verantwoordelijke expert in functie van de objectnoden en binnen de geldende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en rapporteert aan de verantwoordelijke schadevaststelling en/ of contaminatiegevaar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de nodige maatregelen voor de persoonlijke en collectieve veiligheid volgens de voorschriften (ergonomie, toxische producten en materialen, schimmels, materialen en uitrusting,…)</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eenvoudige ondersteuningsvormen op maat voor objecten (passe-partouts, boekensteunen,…)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geschikte hulpmiddelen bij verplaatsing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Begeleidt eventueel het 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het depot en de collectie (ontstoffen, IPM-controles uitvoeren,...)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de objecten veilig in samenspraak met de verantwoordelijke expert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geschikte hulpmiddelen bij verplaatsing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Assisteert bij de installatie van de objecten die tentoongesteld worden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de objecten veilig in samenspraak met de verantwoordelijke expert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objecten in quarantaine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deze acties eventueel zelf uit (invriezen, oppervlakkig reinigen, schonen van archiefstukken, ontsmetten, uitvoeren van anoxiebehandeling,...)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duidelijk leesbare labeling aan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binnen het taakveld van preventieve conservatie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gebeurt in samenwerking met uiteenlopende (groepen) personen die betrokken zijn bij beheer en behandeling (collectiebeheer, preservering, conservatie en restauratie, collectieregistratie, veiligheid en andere)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in verschillende omgevingen plaats (bvb. een depot, een museum, een tentoonstellingsruimte, een archief, een erfgoedbibliotheek, een kunstenaarsatelier, restauratieatelier, een monument, een archeologische site, landschappelijke site, particuliere 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voert uiteenlopende opdrachten uit met diverse materialen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 impliceert de hantering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behoudsmedewerker moet soms een specifieke werkhouding kunnen aanhouden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behoudsmedewerker moet zijn handelingen kunnen uitvoeren met de nodige handvaardigheid en materiaalgevoel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het methodisch en nauwkeurig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kwaliteitsvol omgaan met erfgoed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om met producten die onderhevig zijn aan omgevingsfactoren/degradatie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om met mogelijk toxische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constante aandacht omwille van omgang met behoud van vergankelijke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kunnen  omgaan met personen die betrokken zijn bij beheer en behandeling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om met een breed gamma aan apparatuur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soms repetitieve handelingen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toegewezen taken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deontologische code(s)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richtlijnen van de verantwoordelijke expert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preventie- en calamiteitenplan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collectieplan van de beheerder</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expert</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op een methodische en deontologische manier om met erfgoed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toestand van bewaring van de objecten op onder toezicht van de verantwoordelijke expert, zowel in depot als in tentoonstelling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bewaring en de interne verplaatsing van objecten op en draagt bij tot de veilige en deskundige handling onder toezicht van de verantwoordelijke expert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voor het externe vervoer van objecten en objectveilige en deskundige handling, in samenspraak met de verantwoordelijke expert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voor de veilige en deskundige opvolging van inkomende en uitgaande objecten (nieuwe aanwinsten, bruikleenverkeer,…), in samenspraak met de verantwoordelijke expert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de juiste labels en identificatiegegevens aan op objecten, depotmeubilair en verpakkingen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Staat in voor de veiligheid van de objecten en de werkomstandigheden, na instructies van de verantwoordelijke expert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(administratieve) procedures binnen de instelling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