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Productiemedewerker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BK-0193-2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Productiemedewerker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uitvoeren van routinematige (productie)handelingen, opvolgen van de productie en bedienen van de machine, het uitvoeren van eenvoudige kwaliteitscontroles, steeds onder leiding van een verantwoordelijke en aan de hand van instructies teneinde de continuïteit van de productie te ondersteunen.’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Neemt kennis van de productiefiches en -voorschriften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productieplanning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productieorder en technische fiche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de gebruikte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Controleert de voorraad grondstoffen en materialen voor de eigen productie (tekorten, hoeveelheid, dosering, mengeling,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afwijkingen of tekorten van de te verwerken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goederentransport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grondstoffen en materialen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van beeldschermen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 volgens 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0F2A0A" w:rsidRDefault="000F2A0A" w:rsidP="000F2A0A">
      <w:pPr>
        <w:pStyle w:val="Voetnoot"/>
        <w:numPr>
          <w:ilvl w:val="1"/>
          <w:numId w:val="14"/>
        </w:numPr>
      </w:pPr>
      <w:r w:rsidRPr="000F2A0A">
        <w:rPr>
          <w:sz w:val="22"/>
        </w:rPr>
        <w:t/>
      </w:r>
      <w:r>
        <w:rPr>
          <w:sz w:val="22"/>
        </w:rPr>
        <w:t>Basiskennis van grondstoffen in functie van de eigen productie</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 en -systemen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de gebruikte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toestellen voor goederentransport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Controleert de veiligheidsvoorzieningen van de machine(straat), -lijn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aan de machine(straat), -lijn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en veiligheidsrisico’s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 noodgevallen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machine(straat), -lijn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automatische machine(straat), -lijn te bedienen (incl. opstart- en stopprocedures)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Start, bedient en stopt de machine(straat), -lijn volgens de instructies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machine(straat), -lijn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grondstoffen en hulpproducten aan/in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machine(straat), -lijn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geproduceerde goederen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machine(straat), -lijn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grondstoffen in functie van de eigen productie</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 en -systemen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machine(straat), -lijn</w:t>
      </w:r>
      <w:r w:rsidRPr="000F2A0A">
        <w:rPr>
          <w:sz w:val="22"/>
        </w:rPr>
        <w:t/>
      </w:r>
    </w:p>
    <w:p w:rsidR="000F2A0A" w:rsidRDefault="000F2A0A" w:rsidP="000F2A0A">
      <w:pPr>
        <w:pStyle w:val="Voetnoot"/>
        <w:numPr>
          <w:ilvl w:val="1"/>
          <w:numId w:val="14"/>
        </w:numPr>
      </w:pPr>
      <w:r w:rsidRPr="000F2A0A">
        <w:rPr>
          <w:sz w:val="22"/>
        </w:rPr>
        <w:t/>
      </w:r>
      <w:r>
        <w:rPr>
          <w:sz w:val="22"/>
        </w:rPr>
        <w:t>Kennis van kwaliteitsprocedures,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automatische machine(straat), -lijn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Bewaakt de continuïteit van zijn eigen productie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op en 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productie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grondstoffen in functie van de eigen productie</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 en -systemen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de gebruikte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machine(straat), -lijn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automatische machine(straat), -lijn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Registreert en rapporteert het verloop van de eigen productie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gebruik van grondstoffen 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grondstoffen in functie van de eigen productie</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kwaliteitscontroles uit op de eigen productie volgens de instructies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van beeldschermen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productcontrole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 op basis van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productie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grondstoffen in functie van de eigen productie</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 en -systemen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kwaliteitsprocedures,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Organiseert de eigen werkplek,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voorgeschreven veiligheids- en milieuvoorschriften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Kennis van de gebruikte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registratie- en informatiesystemen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kwaliteitscontroles</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 en informatiesystemen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grondstoffen in functie van de eigen productie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 en -systemen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gebruikte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machine(straat),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kwaliteitsprocedures,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automatische machine(straat), -lijn te bedienen (incl. opstart- en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toestellen voor goederentransport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productieplanning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productieorder en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 en materialen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van beeldschermen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controle-instrumenten en interpreteert de controlegegevens volgens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productie stil in noodgevallen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machine(straat), -lijn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grondstoffen en hulpproducten aan/in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machine(straat), -lijn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gegevens en reageert passend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geproduceerde goederen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grondstoffen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van beeldschermen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productcontrole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 op basis van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Verwijdert producten die niet voldoen aan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Stopt de productie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voorgeschreven 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aan de machine(straat), -lijn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en veiligheidsrisico’s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op en neemt op passende wijze 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afwijkingen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Stopt de productie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problemen aan de verantwoordelijke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machine(straat), -lijn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machine(straat), -lijn, eventueel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handelingen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deze sector bestaan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in teamverband uitgeoefend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steeds onder toezicht/leiding van een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aan de hand van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in het team en naar de verantwoordelijke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veiligheidsvoorschriften bij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Verzorgt het intern transport van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bewust van de mogelijke impact van zijn handelingen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zorgen voor toevoer van de grondstoffen, het opstarten en bedienen van de machine(straat), -lijn,  het stoppen van de productie, het opvolgen van de eigen productie, de kwaliteitsopvolging en -controle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productieplanning, veiligheids- en milieuvoorschriften/ procedures, productieorder/technische fiche, hygiënische voorschriften, eigenschappen van grondstoffen, richtwaarden en toleranties, kwaliteitsvoorschriften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planning, productieorder, meldingen van storingen en bijkomende instructies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kennis van de productiefiches en -voorschriften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voor de eigen productie (tekorten, hoeveelheid, dosering, mengeling,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machine(straat), -lijn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Start, bedient en stopt de machine(straat), -lijn volgens de instructies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de continuïteit van zijn eigen productie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de eigen productie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op de eigen productie volgens de instructies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vereiste attesten.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