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0163</w:t>
      </w:r>
      <w:r>
        <w:t>)</w:t>
      </w:r>
    </w:p>
    <w:p w:rsidR="003B07E1" w:rsidRDefault="003B07E1" w:rsidP="003B07E1">
      <w:pPr>
        <w:pStyle w:val="DossierTitel"/>
      </w:pPr>
      <w:r>
        <w:t>Bibliotheekdeskundige/Informatiedeskundige</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Bibliotheekdeskundige/Informatiedeskundige</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‘Het coördineren en het operationeel leiden van een team, een afdeling of een project binnen een bibliotheek, leercentrum, documentatiecentrum of informatiedienst teneinde het bibliotheekbeleid te implementeren in functie van de maatschappelijke rol en de doelstellingen van de organisatie.’</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lastRenderedPageBreak/>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Bouwt deskundigheid op  (co 01249)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Leest vakgerichte informatie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opleidingen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Bezoekt andere bibliotheken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Wisselt ervaringen en informatie uit met collega’s binnen en buiten de eigen organisatie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Doet voorstellen voor eigen vorming en opleiding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Verwerkt vakgerichte of vakspecifieke informatie en speelt hierop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actuele ontwikkelingen op het gebied van ICT met het oog op de operationalisering binnen de werking van de bibliotheek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de maatschappelijke ontwikkelingen op en speelt hierop 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mee aan studiedagen, werkgroepen, colloquia en andere vormingsinitiatieven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Deelt kennis over de zoekstrategie en de geformuleerde antwoorden met collega’s binnen en buiten de organisatie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Coördineert en organiseert activiteiten en/of projecten  (K160101 Id18323-c)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Bouwt een netwerk uit met relevante partners uit cultuur, welzijn, onderwijs, onderzoek…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Neemt initiatief om samen te werken met interne en externe partners rond projecten en activiteiten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Ontwikkelt of participeert in innovatieve (onderzoeks)projecten (nationaal of internationaal)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Speelt bij de organisatie van projecten en activiteiten (auteurslezingen, internetcursussen, educatieve activiteiten, tentoonstellingen …) in op vragen van gebruikers of partners en op actuele ontwikkelingen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Zoekt actief naar onderwerpen en manieren om het publiek of specifieke doelgroepen te bereiken in functie van de doelstellingen en de maatschappelijke opdracht van de bibliotheek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Ontwikkelt en coördineert activiteiten voor specifieke doelgroepen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Stemt activiteiten af met het aanbod van anderen en werkt samen waar mogelijk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Ontwikkelt de communicatie (promotie, website, catalogi en andere publicaties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de activiteit of het project inhoudelijk en planmatig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Raamt de kosten van de activiteit of het project en blijft binnen het toegekende budget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Coördineert de praktische organisatie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Evalueert de activiteit of het project inhoudelijk en organisatorisch en stuurt bij waar nodig</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Verstrekt gespecialiseerde informatie (K160101 Id11961-c)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de meest aangewezen zoekstrategieën en bronnen om complexe vragen te beantwoorden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Zoekt bij doorverwijzing van een vraag van de bibliotheekmedewerker/informatie-bemiddelaar naar een antwoord op de vraag van een bibliotheekgebruiker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Wendt gespecialiseerde kennis aan om de (achterliggende) (informatie)behoefte te kunnen achterhalen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zijn communicatie en didactiek aan aan een specifiek doelpubliek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Ontwikkelt gespecialiseerde instrumenten ter ondersteuning van specifieke doelgroepen en van collega’s (flowcharts, handleidingen, wiki’s,…)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Gaat discreet om met vertrouwelijke informatie van de gebruiker en de organisatie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informatiebeheersystemen en zoeksystemen op een innovatieve manier</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Instrueert en organiseert vormingen voor bibliotheekgebruikers  (K160101 Id21461-c)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Gaat via zijn netwerk na welk bruikbaar instructie- en begeleidingsmateriaal al beschikbaar is en past dit zo nodig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Ontwikkelt instructie- en begeleidingsmateriaal op maat van de gebruiker(s) rekening houdend met de evoluties en aangepast aan de werkomgeving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Ontwikkelt en geeft vorming en informatiesessies op maat van de gebruiker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zijn communicatie en didactiek aan aan de gebruikers</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Bouwt een collectie/informatieaanbod uit (K160101 Id16864-c/20281-c/24154-c/7227-c)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Onderzoekt de behoeften van (potentiële) gebruikers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Analyseert het informatieaanbod in andere instellingen in functie van de uitbouw van het eigen aanbod en stelt mogelijke acties voor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Analyseert de fysieke staat van de collecties en stelt acties voor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Bereidt de aankoopprocedure voor en volgt ze op na de besluitvorming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Bouwt een collectie of informatieaanbod uit volgens het beleid, de behoeften van de gebruiker en nieuwe ontwikkelingen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Analyseert het gebruik van de collectie of het informatieaanbod en stelt acties voor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Signaleert de eventuele noodzaak van een heroriëntatie van het budget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informatiebeheersystemen en zoeksystemen en doet voorstellen ter verbetering op basis van ontwikkelingen binnen en buiten de eigen organisatie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kantoorsoftware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Optimaliseert en innoveert de toegankelijkheid van een collectie/informatieaanbod  (K160101 Id11383-c/25769/8249-c)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Maakt het informatieaanbod op een overzichtelijke, gebruiksvriendelijke en geïntegreerde manier toegankelijk, op basis van vakkennis en het zoekgedrag van gebruikers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Verhoogt de toegankelijkheid van de informatiebronnen  binnen een breder kader (instituutoverschrijdend, regionaal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kwaliteit en de consistentie van bibliografische bestanden binnen de eigen instellingen en binnen het netwerk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Analyseert en bewerkt informatie voor informatieproducten (nieuwsbrief, website, themadossiers …)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Stimuleert en optimaliseert het gebruik van het informatieaanbod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Ontwikkelt en innoveert de producten en de diensten van de bibliotheek (catalogus, nieuwsbrief, website, apps, classificatiesystemen, projecten …)</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multimedia opmaakprogramma's</w:t>
      </w:r>
      <w:r w:rsidRPr="00113690">
        <w:rPr>
          <w:rFonts w:cstheme="minorHAnsi"/>
          <w:color w:val="FF0000"/>
        </w:rPr>
        <w:t/>
      </w:r>
    </w:p>
    <w:p w:rsidR="002C5C20" w:rsidRDefault="002C5C20" w:rsidP="002C5C20">
      <w:pPr>
        <w:pStyle w:val="Voetnoot"/>
      </w:pPr>
      <w:r w:rsidRPr="00F0058F">
        <w:t/>
      </w:r>
      <w:r w:rsidRPr="006D6AE0">
        <w:br/>
        <w:t>Het begrip informatiebronnen omvat zowel bronnen binnen als buiten de eigen instelling. Het gaat om digitale en analoge informatie op alle mogelijke fysieke dragers en ook online.</w:t>
      </w:r>
      <w:r w:rsidRPr="006D6AE0">
        <w:br/>
      </w: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Organiseert de interne kwaliteitszorg volgens het uitgestippelde beleid  (co 01250)</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Formuleert beleidsgericht advies ter verbetering van de werking of dienstverlening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Evalueert de dienstverlening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Reageert op signalen over de dienstverlening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Gedraagt zich in overeenstemming met de 'Beroepscode  voor informatieprofessionals in bibliotheken en documentatiecentra' en andere interne gedragscodes</w:t>
      </w:r>
      <w:r w:rsidRPr="00113690">
        <w:rPr>
          <w:rFonts w:cstheme="minorHAnsi"/>
          <w:color w:val="FF0000"/>
        </w:rPr>
        <w:t/>
      </w:r>
    </w:p>
    <w:p w:rsidR="002C5C20" w:rsidRDefault="002C5C20" w:rsidP="002C5C20">
      <w:pPr>
        <w:pStyle w:val="Voetnoot"/>
      </w:pPr>
      <w:r w:rsidRPr="00F0058F">
        <w:t/>
      </w:r>
      <w:r w:rsidRPr="006D6AE0">
        <w:br/>
        <w:t>  Deze code (http://www.vvbad.be/themas/werken/beroepscodes) bevat algemene richtlijnen voor het handelen van bibliothecarissen/informatiemanagers en bibliotheekmedewerkers/informatiebemiddelaars. Hij biedt een houvast voor de ‘juiste' handelswijze van informatieprofessionals. Aangezien de beroepscode alleen algemene principes bevat, zullen de informatieprofessionals deze toch altijd zelf moeten interpreteren. Zij zullen dus zelf de vertaalslag moeten maken naar de concrete situatie waarmee ze geconfronteerd worden. Aan de hand van de code kunnen zij hun handelen toetsen. In die zin kan de informatieprofessional de code ook gebruiken om zijn handelen te rechtvaardigen tegenover derden, zowel binnen als buiten de eigen instelling. Ook voor de buitenwereld is de beroepscode een criterium waaraan het gedrag van informatieprofessionals afgewogen kan worden. De code bepaalt mee het beeld dat gebruikers, hogere overheden en andere belanghebbenden zich vormen van de ‘informatieprofessional'. Samengevat biedt deze code garanties voor de kwaliteitsbewaking bij de uitoefening van het beroep.</w:t>
      </w:r>
      <w:r w:rsidRPr="006D6AE0">
        <w:br/>
      </w: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Leidt operationeel een (project)team  (K160101 Id18066-c)</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mee aan werving en selectie van nieuwe medewerkers van het team</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plannings-, functionerings- en evaluatiegesprekken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stijl van leiding geven aan aan de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Bevordert de teamgeest zodat mensen goed samenwerken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Overlegt met medewerkers individueel en in team en stuurt ze inhoudelijk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Helpt de medewerkers en biedt steun bij het uitvoeren van taken en bij het behalen van resultaten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Stimuleert medewerkers om zelf oplossingen te vinden en hun eigen functioneren te versterken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Doet voorstellen voor vorming, training en opleiding voor de medewerkers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Geeft feedback en opbouwende kritiek over de uitvoering van het werk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Probeert spanningen en problemen tussen medewerkers op te lossen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Zorgt ervoor dat het team resultaatsgericht en planmatig werkt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Zorgt voor doorstroming van opgebouwde deskundigheid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Stimuleert de medewerkers om zich te gedragen volgens de 'Beroepscode voor informatieprofessionals in bibliotheken en documentatiecentra' en andere interne gedragscodes</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technische apparatuur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Materiaaltechnische basiskennis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commerciële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principes van actieve conservatie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economie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klantgerichtheid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communicatiekanalen-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sector (overheid, (bovenlokale) organisaties, leveranciers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beroepscode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organisatie, haar werkingsgebied en haar doelgroepen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bestaande collectie- en gebruikersprofielen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functiespecifieke onderwerpsdomeinen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van mediawijsheid (zoeken, evalueren en verwerken van informatie)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zoekmethoden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collectie en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principes, de vormen en de toepassing van formele en inhoudelijke ontsluiting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criteria en normen voor verwerven, wieden en afvoeren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bibliotheekapplicaties voor uitleen, bestel- en abonnementenadministratie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 internettoepassingen en multimedia opmaakprogramma’s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criteria en normen voor preventieve conservatie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wetgeving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digitaliseringstechnieken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groepsdynamiek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integrale kwaliteitszorg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personeelsbeheer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budgetbeheer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leiden van een team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didactiek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doelgroepen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 en marketingprincipes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relevante marktsectoren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recentste ontwikkelingen op het gebied van bibliotheekautomatiseringssystemen, informatiesystemen en zoeksystemen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projectmanagement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rapporten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samenwerken met de verschillende diensten van de organisatie waarvan men deel uitmaakt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begroting, gebaseerd op de verschillende geplande uitgavenposten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planning binnen uitgestippeld beleid: tijd, mensen en 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beheren van het toegekende budget en het kostenefficiënt kunnen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inhoudelijk uitwerken van de aankoop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motiveren en opvolgen van de gepaste procedure bij aankoop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en evalueren van de kwaliteit van het uitgevoerde werk/de dienstverlening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meewerken bij werving en selectie van nieuwe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voeren van plannings-, functionerings- en evaluatiegesprekken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samenwerken met deskundigen om analyses om te zetten in concrete toepassingen (ICT, architecten, conservatie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medewerkers individueel en in team, het kunnen inhoudelijk aansturen en hen stimuleren om zelf oplossingen te vinden en om hun eigen functioneren te versterken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processen die toegang bieden tot interne en/of externe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administratieve en ondersteunende processen binnen de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input leveren voor beleidsnota’s (collectiebeleidsnota, marketingplan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delen van kennis en met collega’s binnen en buiten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doorstroming van opgebouwde deskundigheid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een dienstverleningspakket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actief zoeken naar onderwerpen waarmee en manieren waarop het publiek of specifieke doelgroepen bereikt kunnen worden in functie van de doelstellingen en de maatschappelijke opdracht van de bibliotheek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er mee voor zorgen dat zijn bibliotheek een referentiepunt is en het kunnen afstemmen waar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initiatief nemen om samen te werken met interne en externe partners rond projecten en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onderhandelen en opvolgen van contracten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opbouwen van de eigen deskundigheid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vakgerichte, technologische en maatschappelijke ontwikkelingen en het kunnen hierop inspelen (wisselt ervaringen uit met collega’s, verwerkt vakgerichte informatie, bezoekt andere bibliotheken, volgt opleidingen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uitbouwen van een netwerk dat relevant is voor het realiseren van de doelstellingen (vertegenwoordigers van (potentiële) gebruikers, (potentiële) partners, beslissingsmakers, sleutelfiguren, interne en externe deskundigen, leveranciers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opbouwen van kennis door deel te nemen aan studiedagen, vakverenigingen, socio-culturele activiteiten en samenwerkingsverbanden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procedures voor de dienstverlening in de bibliotheek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bijdragen aan studiedagen, werkgroepen, colloquia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implementeren van beleidsnota’s (collectiebeleidsplan, marketingplan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ontwikkelen van vormingen op maat van de bibliotheekgebruikers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ontwikkelen en innoveren van producten en diensten van de bibliotheek met het oog op een verhoging van de toegankelijkheid van de collectie/informatieaanbod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succesvol sturen en implementeren van veranderingen op basis van veranderstrategieën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rekening houden bij het nemen van beslissingen met haalbaarheid, functionaliteit, veiligheid, gebruiksvriendelijkheid, kostprijs, nieuwe ontwikkelingen, wetgeving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zorgen voor een infrastructuur aangepast aan de noden van de gebruikers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doen van voorstellen om de inkomsten te vergroten (inclusief het zoeken naar ad hoc of externe financiering)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afstemmen van de planning op de vaardigheden van de medewerkers, op de duur en volgorde van de opdrachten en het kunnen rekening houden met wijzigende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bevorderen van de teamgeest en het kunnen oplossen van spanningen en problemen tussen medewerkers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doen van voorstellen ter verbetering van het beleid (personeel, investering preservatie en conservatie, collectie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de stijl van leiding geven aan de medewerkers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optimaliseren van de zoekomgeving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actief op zoek gaan naar mogelijkheden om werkprocessen en dienstverlening te optimaliseren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ontwikkelen of participeren in innovatieve (onderzoeks)projecten (nationaal of internationaal)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streven naar maximale klantgerichtheid en toegankelijkheid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beantwoorden van gespecialiseerde inhoudelijke en IT-vragen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voorzichtig en deskundig kunnen omgaan met objecten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hanteren van lasten en langdurig rechtstaan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een bibliotheek , informatiedienst, leercentrum of documentatiecentrum</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binnen de context van een overkoepelende organisatie die de doelstellingen en het werkingskader mee bepaalt (gemeente, onderwijsinstelling, overheid, non-profitorganisaties, bedrijf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is alert voor en anticipeert op maatschappelijke en technologische ontwikkelingen en de impact daarvan op de rol van de bibliotheek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Klantenstromen wijzigen volgens uur van de dag, dag van de week, periode van het jaar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kunnen omgaan met een grote verscheidenheid aan bezoekers die door brede maatschappelijke veranderingen (diversiteit, verjonging, vergrijzing) evolueert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vereist flexibiliteit door de publieksfunctie en door de verruiming van openingstijden en avond- en weekendwerk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gebeurt in samenspraak met de bibliothecaris/informatiemanager en meerdere betrokkenen binnen en buiten de organisatie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een breed netwerk aan relevante partners uit cultuur, welzijn, onderwijs en onderzoek binnen en buiten de eigen organisatie uitbouwen en in stand 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voortdurend open staan voor nieuwe technologische ontwikkelingen (internet, sociale media, tablets, e-readers, e-publicaties …)</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 impliceert de hantering van lasten en langdurig rechtstaan en rondlopen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vereist het zorgvuldig omgaan met kwetsbare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gaat om met een breed gamma aan apparatuur en software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komt voortdurend in contact met gebruikers aangezien zijn taken in het teken staan van de ondersteuning van en de dienstverlening aan de gebruiker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voeling hebben met zijn team zodat hij de medewerkers kan stimuleren en bijsturen waar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de uitbouw van een netwerk van diensten en personen buiten de eigen bibliotheek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geeft blijk van doorgedreven initiatief en leergierigheid bij het opzetten van projecten, activiteiten en onderzoek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een voeling met het doelpubliek/de markt in het kader van collectiebeheer- en ontsluiting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zijn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begeleiden en instrueren van gebruikers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opzetten en organiseren van activiteiten en projecten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opbouwen en onderhouden van een relevant netwerk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dagelijkse werking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operationeel leiden van een (project)team of (gespecialiseerde) afdeling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uitbouwen van het informatieaanbod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optimaliseren van de toegankelijkheid van de collectie / het informatieaanbod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interne kwaliteitszorg volgens het uitgestippelde beleid van de bibliothecaris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beleid van de bibliothecaris/informatiemanager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opdrachten en taakverdeling zoals bepaald door de bibliothecaris/informatiemanager/ in functie van de missie en de doelstellingen van de bibliotheek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missie en de doelstelling van de overkoepelende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Beroepscode voor informatieprofessionals in bibliotheken en documentatiecentra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relevante wetgeving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bibliothecaris/informatiemanager voor afstemming, ondersteuning en tussentijds advies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Is verantwoordelijk voor ondersteuning en dienstverlening aan de gebruiker, collectiebeheer, ontsluiting, logistiek en administratie, communicatie en PR binnen de grenzen afgebakend door de bibliothecaris/informatiemanager en rapporteert hierover.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Opgebouwde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Gecoördineerde en georganiseerde activiteiten en/of projecten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Verstrekte gespecialiseerde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Georganiseerde vormingen voor bibliotheekgebruikers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uitgebouwd collectie / informatieaanbod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Geoptimaliseerde en innovatieve toegankelijkheid van een collectie/informatieaanbod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georganiseerde interne kwaliteitszorg volgens uitgestippeld 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operationeel begeleid (project)team of (gespecialiseerde) afdeling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attesten vereist.</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