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0199</w:t>
      </w:r>
      <w:r>
        <w:t>)</w:t>
      </w:r>
    </w:p>
    <w:p w:rsidR="003B07E1" w:rsidRDefault="003B07E1" w:rsidP="003B07E1">
      <w:pPr>
        <w:pStyle w:val="DossierTitel"/>
      </w:pPr>
      <w:r>
        <w:t>Matroos zeevisserij</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Matroos zeevisserij</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Werkt in de zeevisserij, staat in voor het optuigen en onderhouden van vaar- en vistuigen, om de gevangen vis te verwerken, het schip te onderhouden en te reinigen rekening houdend met de veiligheidsvoorschriften teneinde de bedrijfsdoelstellingen te bekomen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2016</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01641)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efficiënt met alle bemanningsleden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alle bemanningsleden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de andere bemanningsleden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bemanningsleden,…)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aan de reglementering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zich in om te zorgen dat de orde en de tucht aan boord gevrijwaard is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01642)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ecologisch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veiligheids- en milieuvoorschriften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de bemanningsleden de collectieve beschermingsmiddelen aanwenden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de schipper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nieuwe opgelegde technieken en past ze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Onderhoudt het vaartuig en de uitrusting  (A141501 Id6981)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(schoonmaken, detergenten,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het onderhoudsprogramma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dek en het 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materialen zeewaardig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Verbetert de situaties aan boord die een gevaar kunnen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Houdt toezicht op de toestand van het vaartuig tijdens het varen, stelt afwijkingen vast en meldt ze aan de schipper  (A141501 Id17752-c)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ernstige problemen aan de schipper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de installaties en het reddingsmaterieel (oa. AED-toestel)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beschermings- en reddingsmaterieel (reddingsvest met MOB-zender, veiligheidshelm,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het veiligheidsplan en voert het uit indien nodig (man over boord, gewonden, schip verlaten, brandplan…)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het  evacuatieplan toe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Helpt het vaartuig veilig af- en aanmeren (A141501 Id7363-c)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af op de opdracht van de schipper (afstoppen, vieren, uitwerpen, losgooien, opschieten van de meertrossen en -touwen,…)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schipper aanwijzingen bij het uitvoeren van de manoeuvres</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Helpt en houdt toezicht bij het uitzetten en ophalen van de vistuigen </w:t>
      </w:r>
      <w:r>
        <w:rPr>
          <w:rFonts w:cstheme="minorHAnsi"/>
        </w:rPr>
        <w:t xml:space="preserve"> </w:t>
      </w:r>
      <w:r w:rsidRPr="00A4228D">
        <w:rPr>
          <w:rFonts w:cstheme="minorHAnsi"/>
        </w:rPr>
        <w:t>(A141501 Id15116-c)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instructies gekregen van op de brug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de instructies om in handelingen aan dek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richtlijnen voor veiligheid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Haalt de vangst op, sorteert en verwerkt de vangst </w:t>
      </w:r>
      <w:r>
        <w:rPr>
          <w:rFonts w:cstheme="minorHAnsi"/>
        </w:rPr>
        <w:t xml:space="preserve"> </w:t>
      </w:r>
      <w:r w:rsidRPr="00A4228D">
        <w:rPr>
          <w:rFonts w:cstheme="minorHAnsi"/>
        </w:rPr>
        <w:t>(A141501 Id17237-c/7569-c)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Haalt de netten binnen samen met de andere bemanningsleden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vis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Stript (gut) de vis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Bergt de vis op in de viskisten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Stapelt de viskisten zeewaardig in het visruim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Bedient een weegschaal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Gaat de temperatuur van de koelruimte na</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richtlijnen voor voedselveiligheid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indien nodig loten apart (traceerbaarheid)</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Onderzoekt de staat van de netten, sleepnetten, boeien, touwen en voert de nodige herstellingen uit </w:t>
      </w:r>
      <w:r>
        <w:rPr>
          <w:rFonts w:cstheme="minorHAnsi"/>
        </w:rPr>
        <w:t xml:space="preserve"> </w:t>
      </w:r>
      <w:r w:rsidRPr="00A4228D">
        <w:rPr>
          <w:rFonts w:cstheme="minorHAnsi"/>
        </w:rPr>
        <w:t>(A141501 Id17946)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Herkent netsoorten (maaswijdte, tekening,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een nettenplan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netten samen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techniek en het materieel af op de opdracht (breien, boeten, touwwerk en kabels splitsen,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in opdracht preventief onderhoud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Merkt afwijkingen op en overlegt met de schipper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Vernieuwt vislijnen, borgen, kabels van de gieken,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tekorten in het nettenruim aan voor het vertrek</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economische principes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ecologische principes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principes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basisveiligheid (basic safety) op zee: kennis van sociale verantwoordelijkheden, kennis van brandpreventie en brandbestrijding, kennis van EHBO, kennis van persoonlijke overlevingstechnieken, kennis van persoonlijke veiligheid, samenwerken in nood en gebruik reddingsvlot, kennis van milieuverontreiniging op zee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arbeidsongevallen op zee en preventieve maatregelen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stabiliteitsprincipes van het vaartuig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visverwerking aan boord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knoop- en touwwerktechnieken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typologie van schepen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gebruiken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gebruiken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gebruiken 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te gebruiken producten ((vis)kisten, schoonmaakproducten,…)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communiceren met alle bemanningsleden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alle bemanningsleden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samenwerken met alle bemanningsleden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flexibel kunnen aanpassen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de schipper, stuurman,…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aanwijzingen van de schipper, stuurman,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aan de reglementering en de orde en tucht aan boord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ergonomische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economische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ecologische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veiligheids- en milieuvoorschriften in specifieke situaties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melden van problemen aan de schipper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leren en toepassen van nieuwe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techniek en het materieel op de opdracht wat betreft het onderhoud van het vaartuig en de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houden aan het onderhoudsprogramma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dek en het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de installaties en het reddingsmaterieel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uitvoeren van veiligheidsplan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het evacuatieplan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ontvangen en opvolgen van de instructies van de verantwoordelijke op de brug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omzetten van instructies in handelingen aan het dek wat betreft het onderhoud van het vaartuig en de uitrusting en bij het uitzetten, toezicht houden  en ophalen van de vistuigen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houden aan richtlijnen voor (voedsel)veiligheid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techniek op de opdracht van de schipper bij het af- en aanmeren van het vaartuig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aanwijzingen aan de schipper bij het uitvoeren van manoevers tijdens het af- en aanmeren van het vaartuig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netsoorten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een nettenplan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opmerken van afwijkingen van de staat van de (sleep)netten, boeien en touwen en daarover kunnen overleggen met de schipper</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verbeteren van de situatie aan boord die een gevaar kunnen zijn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problemen aan de schipper of de stuurman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persoonlijke en collectieve beschermingsmiddelen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zeewaardig kunnen vastmaken van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dragen van beschermings- en reddingsmaterieel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binnenhalen van de netten samen met de andere bemanningsleden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controleren van de vis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strippen (gutten) van de vis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opbergen van de vis in viskisten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zeewaardig kunnen stapelen van de viskisten in het visruim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weegschaal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nagaan van de temperatuur in de koelruimte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apart houden van de loten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preventief onderhoud van (sleep)netten, boeien en touwen aan de hand van instructies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vernieuwen van vislijnen en het kunnen borgen van kabels van gieken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tekorten in het nettenruim voor vertrek</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zee en aan wal. De activiteiten kunnen aan dek en in een koelzone plaatsvinden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aangepaste/veranderende werktijden, in shift (volcontinu, tijdens de nacht, het weekend en tijdens feestdagen)Verlof wordt toegestaan in samenspraak met de rederij, zodat een schip nooit onbemand is of met een tekort aan gekwalificeerd personeel vaart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tijd van huis weg kan in bepaalde omstandigheden oplopen tot ongeveer 1 maand, indien langer dan 1 maand zorgt de reder voor aflossing van het bemanningslid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waarbij de nodige flexibiliteit belangrijk is om zich aan te passen aan wijzigingen van planning, omgeving, weersomstandigheden en soort visserij en visvangst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vaartuig mag maar een beperkte periode ononderbroken varen. De termijn zoals bepaald in de wetgeving moet hierbij steeds gerespecteerd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zeevisserij kent zeer veel nationale en internationale reglementeringen, normen, aanbevelingen en technische voorlichtingsfiches inzake kwaliteit, veiligheid, gezondheid, hygiëne, welzijn,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respecteren van tijdschema’s is noodzakelijk voor bepaalde opdrachten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aan boord kan het dragen van lasten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gaat op constructieve en transparante wijze informatie uitwisselen met de andere bemanningsleden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kan zich aanpassen en flexibel opstellen bij wisselende omgevingsfactoren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moet zorgvuldig gebruik maken van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moet steeds de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moet aandacht hebben voor de voor voedselveiligheid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kan gericht reageren bij gevaarlijke situaties (zoals…)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draagt persoonlijke beschermingskledij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matroos moet bijblijven met de ontwikkelingen binnen de sector, dit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uitvoeren en controleren van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reinigen van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opruimen en schoonmaken van het vaartuig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Aanvullen van tekorten in het nettenruim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Controleren, strippen en opbergen van de vis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Vernieuwen van vislijnen, borgen, kabels van gieken,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onderzoeken en herstellen van de staat van de (sleep)netten, boeien, touwen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zeewaardig maken van het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sorteren van afval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Controleren van de werking van de installaties en het reddingsmaterieel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mogelijk toepassen van het evacuatieplan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gezondheids-, kwaliteits- en milieuvoorschriften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Instructies en afspraken met betrekking tot de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nationale en internationale 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 de orde en tuchtregeling van het vaartuig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bemanningsleden voor het ondersteunen van de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werkopdracht, gegevens, melden van problemen, gevaarlijke situaties en bijkomende instructies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efficiënt functioneren in de onderneming en op het vaartuig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milieubewust, kwalitatief en veilig uitvoeren van het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helpen en toezicht houden bij het uitzetten en ophalen van de vistuigen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ophalen, sorteren en verwerken van de vangst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onderzoeken en van de staat van de (sleep)netten, boeien, touwen en het uitvoeren van de noodzakelijke herstellingen ervan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onderhouden van de vaartuigen en de uitrusting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toezicht houden op de toestand van het vaartuig tijdens het varen, het vaststellen en informeren van de schipper of stuurman van 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helpen van aan- en afmeren van het vaartuig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	Vaarbevoegdheidsbewijs matroos </w:t>
      </w:r>
      <w:r>
        <w:br/>
      </w:r>
      <w:r>
        <w:t>-	Basic Safety training STCW-95 A-VI/1-4</w:t>
      </w:r>
      <w:r>
        <w:br/>
      </w:r>
      <w:r>
        <w:t>-	Medische keuringen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