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0105</w:t>
      </w:r>
      <w:r>
        <w:t>)</w:t>
      </w:r>
    </w:p>
    <w:p w:rsidR="003B07E1" w:rsidRDefault="003B07E1" w:rsidP="003B07E1">
      <w:pPr>
        <w:pStyle w:val="DossierTitel"/>
      </w:pPr>
      <w:r>
        <w:t>Asbestverwijderaar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Asbestverwijderaar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van SERV (I150302) gebruikt de benaming ‘Asbestverwijderaar (m/v)’. De Competent-fiche geeft ook andere benamingen aan zoals ‘Verwijderaar van asbestvezels’,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asbestverwijderaar verwijdert asbesthoudend materiaal, dat grote risico’s voor de gezondheid inhoudt, volgens de methode van de hermetisch afgesloten zone, de couveusezak-methode of de methode van de eenvoudige handelingen en hij  evacueert eveneens het hierbij ontstane asbestafval op een veilige manier teneinde gebouwen en structuren volledig asbestvrij te maken.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00693)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over de voorbereiding, uitvoering en afwerking van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kwaliteit (co 00694)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zijn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welzijn, veiligheid en milieu (co 00695)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voorschriften met betrekking tot netheid en hygiëne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aanwezigheid van en gebruikt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voorkomt en beschermt tegen specifieke risico’s zoals gevaarlijke en schadelijke stoffen (cement en hulpstoffen, kwarts- en houtstof, asbesthoudende producten, …), lawaai, brand en explosies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 en vraagt om informatie in geval van twijfel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water voor taken en schoonmaak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energiestromen duurzaam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Beperkt geluidshinder</w:t>
      </w:r>
      <w:r w:rsidRPr="00127D6A">
        <w:rPr>
          <w:rFonts w:cstheme="minorHAnsi"/>
          <w:color w:val="FF0000"/>
        </w:rPr>
        <w:t/>
      </w:r>
    </w:p>
    <w:p w:rsidR="002C5C20" w:rsidRPr="002C5C20" w:rsidRDefault="002C5C20" w:rsidP="002C5C20">
      <w:pPr>
        <w:pStyle w:val="Voetnoot"/>
      </w:pPr>
      <w:r w:rsidRPr="00362EDF">
        <w:t/>
      </w:r>
      <w:r w:rsidRPr="006D6AE0">
        <w:br/>
        <w:t>PBM’s en CBM’s = persoonlijke en collectieve beschermingsmiddelen</w:t>
      </w:r>
      <w:r w:rsidRPr="006D6AE0">
        <w:br/>
      </w: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machines en gereedschappen (co 00696)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te gebruiken machines en gereedschappen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en reinigt de machines en gereedschappen na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en ordelijk  (co 00697)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begrijpt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 en houdt daarbij rekening met de algemene werforganisatie en de logische werkvolgorde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00698)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demonteert steigers volgens de instructies en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steigerklasse en doet een visuele controle van een steiger voor ingebruikname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en signaleert gebreken van de steiger en de steigeronderdelen aan de bevoegde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gepaste verankeringen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vangnetten en geschikte randbeveiliging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goederenliften op en zekert die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goederenlift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hefplatformen volgens voorschriften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Houdt rekening met de risico’s bij het werken met asbest</w:t>
      </w:r>
      <w:r>
        <w:rPr>
          <w:rFonts w:cstheme="minorHAnsi"/>
        </w:rPr>
        <w:t xml:space="preserve"> </w:t>
      </w:r>
      <w:r w:rsidRPr="00A4228D">
        <w:rPr>
          <w:rFonts w:cstheme="minorHAnsi"/>
        </w:rPr>
        <w:t>(co 00699)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Herkent asbesthoudende materialen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Is zich bewust van de risico’s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ademhalingsbescherming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andere PBM’s specifiek voor asbestwerken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veiligheidsvoorschriften en -procedures nauwgezet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Bouwt de hermetisch afgesloten zone op</w:t>
      </w:r>
      <w:r>
        <w:rPr>
          <w:rFonts w:cstheme="minorHAnsi"/>
        </w:rPr>
        <w:t xml:space="preserve"> </w:t>
      </w:r>
      <w:r w:rsidRPr="00A4228D">
        <w:rPr>
          <w:rFonts w:cstheme="minorHAnsi"/>
        </w:rPr>
        <w:t>(co 00700)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Timmert een raamwerk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Bevestigt de lagen plastiekfolie en kleefband die de werkzone hermetisch scheiden van de aangrenzende zones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een personeel- en materiaalsas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een veilige afvoer en verwerking van het afvalwater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Voorziet een nooduitgang en een inspectievenster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niet verplaatsbare objecten, wanden, plafonds en vloeren schoon indien ze gecontamineerd zijn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Pakt niet verplaatsbare objecten, wanden, plafonds en vloeren in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Verzekert luchtdichtheid en afzuiging van de hermetisch afgesloten zone</w:t>
      </w:r>
      <w:r>
        <w:rPr>
          <w:rFonts w:cstheme="minorHAnsi"/>
        </w:rPr>
        <w:t xml:space="preserve"> </w:t>
      </w:r>
      <w:r w:rsidRPr="00A4228D">
        <w:rPr>
          <w:rFonts w:cstheme="minorHAnsi"/>
        </w:rPr>
        <w:t>(co 00701)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Stopt alle mogelijke uitgangen van lucht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luchtdichtheid door middel van een rooktest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extractoren en stelt ze in werking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Gaat binnen en verlaat de hermetisch afgesloten zone volgens de procedures</w:t>
      </w:r>
      <w:r>
        <w:rPr>
          <w:rFonts w:cstheme="minorHAnsi"/>
        </w:rPr>
        <w:t xml:space="preserve"> </w:t>
      </w:r>
      <w:r w:rsidRPr="00A4228D">
        <w:rPr>
          <w:rFonts w:cstheme="minorHAnsi"/>
        </w:rPr>
        <w:t>(co 00702)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de werkzone binnen volgens de procedure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Verlaat de werkzone volgens de procedure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Verwijdert asbest volgens de methode van de hermetisch afgesloten zone</w:t>
      </w:r>
      <w:r>
        <w:rPr>
          <w:rFonts w:cstheme="minorHAnsi"/>
        </w:rPr>
        <w:t xml:space="preserve"> </w:t>
      </w:r>
      <w:r w:rsidRPr="00A4228D">
        <w:rPr>
          <w:rFonts w:cstheme="minorHAnsi"/>
        </w:rPr>
        <w:t>(co 00703)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Bevochtigt asbesthoudende materialen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het asbesthoudend materiaal los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Schuurt de ondergrond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fijnreiniging van de werkzone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Bouwt de hermetisch gesloten zone af</w:t>
      </w:r>
      <w:r>
        <w:rPr>
          <w:rFonts w:cstheme="minorHAnsi"/>
        </w:rPr>
        <w:t xml:space="preserve"> </w:t>
      </w:r>
      <w:r w:rsidRPr="00A4228D">
        <w:rPr>
          <w:rFonts w:cstheme="minorHAnsi"/>
        </w:rPr>
        <w:t>(co 00704)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visueel de eigen werkzone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Fixeert resterende losse asbestvezels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lagen plastiek folie, kleefbanden,… los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de zone (sassen, extractoren en raamwerk)</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Verwijdert asbestisolatie rond leidingen volgens de couveusezak-methode</w:t>
      </w:r>
      <w:r>
        <w:rPr>
          <w:rFonts w:cstheme="minorHAnsi"/>
        </w:rPr>
        <w:t xml:space="preserve"> </w:t>
      </w:r>
      <w:r w:rsidRPr="00A4228D">
        <w:rPr>
          <w:rFonts w:cstheme="minorHAnsi"/>
        </w:rPr>
        <w:t>(co 00705)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Installeert de couveusezak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Bevochtigt de asbestisolatie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de asbestisolatie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Schuurt de leidingen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Fixeert resterende losse asbestvezels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de couveusezak</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Verwijdert asbest volgens de methode van de eenvoudige handelingen</w:t>
      </w:r>
      <w:r>
        <w:rPr>
          <w:rFonts w:cstheme="minorHAnsi"/>
        </w:rPr>
        <w:t xml:space="preserve"> </w:t>
      </w:r>
      <w:r w:rsidRPr="00A4228D">
        <w:rPr>
          <w:rFonts w:cstheme="minorHAnsi"/>
        </w:rPr>
        <w:t>(co 00706)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Fixeert losse asbestvezels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Demonteert asbesthoudende objecten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Kapselt asbesthoudend materiaal in</w:t>
      </w:r>
      <w:r>
        <w:rPr>
          <w:rFonts w:cstheme="minorHAnsi"/>
        </w:rPr>
        <w:t xml:space="preserve"> </w:t>
      </w:r>
      <w:r w:rsidRPr="00A4228D">
        <w:rPr>
          <w:rFonts w:cstheme="minorHAnsi"/>
        </w:rPr>
        <w:t>(co 00707)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Fixeert door te herbekleden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Verpakt en ontsmet asbestafval</w:t>
      </w:r>
      <w:r>
        <w:rPr>
          <w:rFonts w:cstheme="minorHAnsi"/>
        </w:rPr>
        <w:t xml:space="preserve"> </w:t>
      </w:r>
      <w:r w:rsidRPr="00A4228D">
        <w:rPr>
          <w:rFonts w:cstheme="minorHAnsi"/>
        </w:rPr>
        <w:t>(co 00708)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onderscheidt tussen ontsmetbaar en niet-ontsmetbaar afval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Verpakt en etiketteert niet-ontsmetbaar afval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Ontsmet ontsmetbaar afval door stofzuigen of een natte reiniging</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kwarts- en houtstof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gereedschappen en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belang van een facefit test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 en aansluitingstechnieken en het belang van een goede aansluiting van het raamkader bij de hermetische zone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verplichting tot gebruik van een dubbele folie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constructiewijze en -elementen van prefab sassen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criteria waaraan nooduitgang en/of inspectievenster dienen te voldoen zoals bereikbaarheid, grootte, signalisatie en afsluitbaarheid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toegestane schoonmaaktechnieken en de gereedschappen en grondstoffen voor het schoonmaken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gereedschappen en grondstoffen voor het afdekken niet-verplaatsbare installaties en het toestoppen van  openingen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bediening van het rookapparaat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criteria waaraan een goede plaatsing dient te voldoen zoals stabiliteit, positionering van de extractietoestellen ten opzicht van de sassen en volledige uitblaas in de buitenomgeving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verplichtingen bij het werken in besloten ruimtes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bevochtigingstechnieken en de gereedschappen en grondstoffen voor het bevochtigen van asbesthoudend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technieken en de gereedschappen voor het afschuren van de 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fijnreinigingstechnieken en de gereedschappen en de grondstoffen voor de fijne reiniging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eisen waaraan een goede verwijdering dient te voldoen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wanneer fixatie toegepast moet worden, de fixatietechnieken en de gereedschappen en de grondstoffen voor het fixeren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doel van een vrijgavemeting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 van hermetisch gesloten zones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hoe een couveusezak hermetisch te bevestigen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 bij het scheuren van de couveusezak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verschil tussen ontsmetbaar en niet-ontsmetbaar afval en de specifieke procedures voor verpakking en evacuering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waar en hoe niet-ontsmetbaar afval op te slaan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toegestane ontsmettingstechnieken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verpakkingsmaterialen en etikettering van niet-ontsmetbaar afval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 voor het losmaken van een couveusezak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voor het verwijderen en ontsmetten van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mogelijke bronnen van gevaar op het werk (contaminatie, stresserende effecten van werken met een masker, hitte,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noodprocedures (evacuatie uit een zone…)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opgelegde metingen van de concentraties van asbestvezels in de lucht, voor en tijdens de werkzaamheden en bij de vrijgave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types ademhalingsbescherming en hun functie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risico’s van asbest en de ziektes die kunnen resulteren uit besmettingen met asbest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verschillende methodes van verwijdering (hermetische zone, couveusezak, eenvoudige handelingen) en de gevallen waarin elke methode mag toegepast worden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procedure voor het binnengaan en verlaten van de werkzone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doel van en het correct gebruik van de individuele beschermingsmiddelen en de hygiënische maatregelen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verwijderingstechnieken en de gereedschappen en grondstoffen voor het verwijderen van asbesthoudend materiaal</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PBM’s en CBM’s = Persoonlijke en collectieve beschermingsmiddelen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en derden: kunnen overleggen over de voorbereiding, uitvoering en afwerking van de opdracht en afstemmen van de eigen werkzaamheden op de activiteiten van anderen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gevaarlijke stoffen (cement en hulpstoffen, kwarts- en houtstof, asbesthoudende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zoals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gebreken bij het gebruik van ladders en steigers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begrijpen en controleren van plannen, werktekeningen, werkopgaveblad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de juiste ademhalingsbescherming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gebruiken en op regelmatige basis controleren, ontsmetten, onderhouden, opbergen en/of verwijderen van de PBM’s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lektest bij het gebruiken van het ademhalingsmasker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asbestverdachte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inrichten van de eigen werkplek naargelang de verwijdermethode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timmeren van  een raamkader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aansluiten van de watertoevoer, -afvoer en verwarmingselementen voor de douche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realiseren van een nooduitgang en/of inspectievenster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toegestane schoonmaaktechnieken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aansluiten en in werking stellen van het rookapparaat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en in werking stellen van het extractiestoestel en controleren van de goede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vervangen van de filters van het extractietoestel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strikt kunnen naleven van de procedure voor het binnengaan en het verlaten van de hermetische zone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op mogelijke beschadigingen van de hermetische zone en daaruit volgende besmettingen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de procedure bij het scheuren van de couveusezak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volgens de procedure kunnen losmaken en verpakken van de couveusezak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nauwgezet kunnen toepassen van de procedures voor het ontsmetten, verpakken, etiketteren en evacueren van gecontamineerd afval  via het materiaalsas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opslaan en sorteren van gecontamineerd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ontsmetten van gereedschappen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PBM’s en CBM’s = persoonlijke en collectieve beschermingsmiddelen</w:t>
      </w:r>
      <w:r>
        <w:br/>
      </w:r>
      <w:r>
        <w:t/>
      </w:r>
      <w:r>
        <w:br/>
      </w:r>
      <w:r>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uitdenken van  een raamkader aangepast aan de locatie zodat een vlotte en veilige verwijdering mogelijk is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reageren op de metingen van de concentratie aan asbestvezels in de lucht die afwijken van de norm</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steigers volgens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en steigers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snijden en bevestigen van de folie aan het raamkader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van personeel- en materiaalsassen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afdekken van onverplaatsbare installaties en het afstoppen van  openingen en doorgangen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visueel kunnen nagaan op welke plaatsen rook uit de hermetische zone ontsnapt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bevochtigen van asbesthoudend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laag per laag en stuk per stuk kunnen losmaken van het asbesthoudend materiaal met het gepaste 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afschuren van de ondergrond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fijnreinigen van de ganse werkzone na de eerste reiniging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fixeren van de resterende vezels en het asbestafval met een fixatieproduct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losmaken van de (dubbele) folie, kleefbanden, etc.</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wanden, sluizen, afzuigapparatuur,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installeren van een couveusezak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aanleggen van voldoende handigheid opdat de couveusezak niet beschadigd wordt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voorzichtig kunnen demonteren van objecten bestaand uit asbesthoudend materiaal volgens de methode van de eenvoudige handelingen (manueel of met handgereedschap)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fixeren van bekleding met een (elastische) coating en/of folie</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open of gesloten gebouwen die bewoond of in gebruik kunnen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situaties waarbij de veiligheidsomstandigheden voor zowel de uitvoerders als de omgeving permanent gemonitord en onder controle moeten worden gehouden volgens de vigerende asbestwetgeving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klimatologische omstandigheden en risico’s.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wordt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veiligheidseisen, door met zorg, precisie, toewijding en respect voor de veiligheidsprocedures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inspecties, klanten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veiligheidsprocedures en de signalisatie op de bouwplaats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bepalen van de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 en afbouwen van de hermetische zone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verzekeren van luchtdichtheid en afzuiging van de hermetische zone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asbesthoudend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verpakken en ontsmetten van asbestafval.</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verwijderingsmethode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codes van goede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wettelijke en technische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wettelijk voorgeschreven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gezondheidsinstructies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gezondheidsinspecties (Toezicht op het Welzijn op het Werk,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bouwplaatsverantwoordelijke</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leidinggevende voor de werkopdracht en bij problemen (gevaarlijke en/of onveilige situaties, …).</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rekening houden met de risico’s bij het werken met asbest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opbouwen van de hermetisch afgesloten zone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verzekeren van de luchtdichtheid en de afzuiging van de hermetisch afgesloten zone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binnengaan en het verlaten van de hermetisch afgesloten zone volgens de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asbest volgens de methode van de hermetisch afgesloten zone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afbouwen van de hermetisch gesloten zone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asbestisolatie rond leidingen volgens de couveusezak-methode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verwijderen van asbest volgens de methode van de eenvoudige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inkapselen van asbesthoudend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verpakken en ontsmetten van asbestafval</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De werkgever is door het KB van 16 maart 2006 verplicht een passende opleiding aan alle werknemers die aan asbest worden blootgesteld te voorzien. De werkgever doet voor het verstrekken van deze opleiding en de bijscholingen een beroep op een instelling extern aan de onderneming. Voor werknemers belast met het slopen of verwijderen van asbest of asbesthoudende materialen bedraagt de basisopleiding ten minste 32 uur en de jaarlijkse bijscholing ten minste 8 uur. Werfleiders krijgen dezelfde basisopleiding. Zij volgen een jaarlijkse bijscholing van 8 uur die gericht is op de specifieke taken van werfleiders.</w:t>
      </w:r>
      <w:r>
        <w:br/>
      </w:r>
      <w:r>
        <w:t/>
      </w:r>
      <w:r>
        <w:br/>
      </w:r>
      <w:r>
        <w:t>Voor het uitoefenen van bepaalde bijkomende werkzaamheden en/of risicovolle taken zijn bepaalde attesten en/of certificaten vereist, zoals VCA, attest veilig werken op hoogte, …</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