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 Om je Nederlands te verbeteren, moet je dus bewust leren inspelen op je publiek in verschillende communicatiesituaties.</w:t>
      </w:r>
    </w:p>
    <w:p>
      <w:r>
        <w:rPr/>
        <w:t xml:space="preserve">Om je genuanceerd uit te kunnen drukken moet je niet alleen je woordenschat en je kennis van de grammatica voldoende ontwikkelen. Je moet ook je taal verzorgen en gebruikmaken van de beleefdheidsconventies, alledaagse omgangsvormen en uitdrukkingen die eigen zijn aan het Nederlands.</w:t>
      </w:r>
    </w:p>
    <w:p>
      <w:r>
        <w:rPr/>
        <w:t xml:space="preserve">Er zijn globaal vier communicatiesituaties waarin je bewust moet kunnen inspelen op je publiek.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Taalbeschouwing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literaire competentie nemen we maar één tabel op.</w:t>
      </w:r>
    </w:p>
    <w:p>
      <w:r>
        <w:rPr/>
        <w:t xml:space="preserve">Om de verschillende vaardigheden voldoende te ontwikkelen moet je ook bewust nadenken over je taalgebruik en het taalsysteem. Welke strategieën ga je gebruiken om zo goed mogelijk te lezen, luisteren, schrijven en spreken? Onder de tabellen geven we je verschillende tips.</w:t>
      </w:r>
    </w:p>
    <w:p>
      <w:r>
        <w:rPr/>
        <w:t xml:space="preserve">Verderop vind je concrete leermiddelen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zowel tot jongeren als tot volwassenen. Ze kunnen uit verschillende bronnen komen en verwijzen naar verschillende culturen.  </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leeftijdsgenoten over hobby’s en interesses</w:t>
              <w:br/>
              <w:t xml:space="preserve"/>
              <w:br/>
              <w:t xml:space="preserve">informatie over een actueel onderwerp uit het journaal</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jongerentijdschrift</w:t>
              <w:br/>
              <w:t xml:space="preserve"/>
              <w:br/>
              <w:t xml:space="preserve">productinformatie op etiketten van levensmiddelen</w:t>
              <w:br/>
              <w:t xml:space="preserve"/>
              <w:br/>
              <w:t xml:space="preserve">verhalen en gedichten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over het innemen van medicijnen</w:t>
              <w:br/>
              <w:t xml:space="preserve"/>
              <w:br/>
              <w:t xml:space="preserve">een opsporingsbericht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schema’s en tabellen</w:t>
              <w:br/>
              <w:t xml:space="preserve"/>
              <w:br/>
              <w:t xml:space="preserve">reclameteksten</w:t>
              <w:br/>
              <w:t xml:space="preserve"/>
              <w:br/>
              <w:t xml:space="preserve">gebruiksaanwijzingen op een brandblusser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uiteenzetting over een leerstofonderdeel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schoolreglement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het gebruik van de kopieermachine</w:t>
              <w:br/>
              <w:t xml:space="preserve"/>
              <w:br/>
              <w:t xml:space="preserve">een discussie om een probleem op het werk op te lossen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brochure van de speelpleinwerking voor nieuwe monitoren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Voor je een tekst beluistert of leest, is het belangrijk dat je je afvraagt wat je al weet over het onderwerp van de tekst en de tekstsoort. Denk ook na over de zender van de tekst, en vraag je af voor wie de tekst bedoeld is.</w:t>
      </w:r>
    </w:p>
    <w:p>
      <w:r>
        <w:rPr/>
        <w:t xml:space="preserve">Daarna neem je best aandachtig de vragen door. Zo bereid je je goed voor op je luister- of leestaak omdat je dan bewust de geschikte luister- of leesstrategie kan toepassen om te antwoorden op de vragen.</w:t>
      </w:r>
    </w:p>
    <w:p>
      <w:r>
        <w:rPr/>
        <w:t xml:space="preserve">Als je bepaalde passages niet zo goed begrijpt, kan je proberen om gebruik te maken van eventuele visuele ondersteuning zoals beelden bij een luisterfragment of een tekening bij een leestekst. Ze kunnen je veel informatie geven.</w:t>
      </w:r>
    </w:p>
    <w:p>
      <w:r>
        <w:rPr/>
        <w:t xml:space="preserve">Als er woorden zijn die je niet begrijpt, kan je proberen om hun betekenis af te leiden uit de context, je voorkennis of uit de manier waarop een woord is gevormd. Misschien is het een afleiding of een samenstelling. Soms kan je ook gebruik maken van je kennis van vreemde talen. Woorden die je niet begrijpt en die echt noodzakelijk zijn voor een goed tekstbegrip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jongeren en volwassenen, doeltreffend kunnen overbrengen. Zowel voor spreken als voor schrijven moet je daarbij kunnen communiceren in formele en informele situaties. Het spreekt voor zich dat je je taalgebruik afstemt op die situaties en telkens de gepaste omgangsvormen en beleefdheidsformules gebruikt. Daarnaast is het belangrijk dat je je tekst logisch opbouwt, en dat je steeds voor ogen houdt wat het doel van de opdracht is.</w:t>
      </w:r>
    </w:p>
    <w:p>
      <w:r>
        <w:rPr/>
        <w:t xml:space="preserve">Voor schrijven doe je dat in de vorm van een formulier, een vragenlijst, een mededeling, een brief of e-mail, een uitnodiging, … Uiteraard verzorg je je taal, spelling en lay-out.</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hobby’s beschrijven</w:t>
              <w:br/>
              <w:t xml:space="preserve"/>
              <w:br/>
              <w:t xml:space="preserve">vertellen waar je graag op reis zou gaan volgend jaar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maken voor een familiefeest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de kapper uitleggen hoe hij je haar moet knippen</w:t>
              <w:br/>
              <w:t xml:space="preserve"/>
              <w:br/>
              <w:t xml:space="preserve">een telefoongesprek voeren met de oogarts om een afspraak te verzetten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verslag schrijven van een muziekoptreden voor een jongerentijdschrift</w:t>
              <w:br/>
              <w:t xml:space="preserve"/>
              <w:br/>
              <w:t xml:space="preserve">een mail schrijven om kaartjes voor een optreden te reserveren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vragen wat je kan doen om je studiemethode te verbeteren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meer tijd te vragen om een opdracht af te werken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spel uitleggen op het speelplein waar je monitor bent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recensie schrijven voor een jongerentijdschrift</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Pas je taalgebruik aan je publiek aan: de luisteraar of lezer voor wie je tekst bedoeld is.</w:t>
      </w:r>
    </w:p>
    <w:p>
      <w:r>
        <w:rPr/>
        <w:t xml:space="preserve">Probeer eerst een spreek- of schrijfplan te maken om je ideeën te ordenen. Ze geven je houvast om je opdracht beter uit te voeren. Maak daarbij gebruik van sleutelwoorden.</w:t>
      </w:r>
    </w:p>
    <w:p>
      <w:r>
        <w:rPr/>
        <w:t xml:space="preserve">Verzorg bewust je zinsbouw: maak correct gebruik van verschillende soorten zinnen (mededelende, vragende en gebiedende zin) en zorg voor voldoende variatie (hoofdzinnen en bijzinnen, enkelvoudige en samengestelde zinnen…). Denk ook goed na over de woorden die je gebruikt (de betekenis, de gevoelswaarde, figuurlijk taalgebruik) en probeer ook hier voor afwisseling te zorgen.</w:t>
      </w:r>
    </w:p>
    <w:p>
      <w:r>
        <w:rPr/>
        <w:t xml:space="preserve">Soms zal je misschien even vastzitten en niet goed weten hoe je iets best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schriftelijk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klacht uit over een bestelling die nog niet geleverd werd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een spel dat je organiseert</w:t>
              <w:br/>
              <w:t xml:space="preserve"/>
              <w:br/>
              <w:t xml:space="preserve">aan de politie een persoonsbeschrijving geeft van een gauwdief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de directeur onderhandelt om het schoolreglement rond gsm-gebruik aan te 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instructies geeft voor het hanteren van een apparaat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Je zal een aantal strategieën moeten beheersen. Lees eerst goed de opdracht om precies te weten wat je moet doen en hoe je daarbij moet inspelen op de communicatiesituatie. Is die formeel of informeel? Pas je taalgebruik aan aan je gesprekspartner en aan de situatie.</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Probeer altijd in te spelen op wat je gesprekspartner zegt zodat er een echte interactie ontstaat. Toon interesse in en respect voor je gesprekspartner.</w:t>
      </w:r>
    </w:p>
    <w:p>
      <w:r>
        <w:rPr/>
        <w:t xml:space="preserve">Vergeet ook niet dat je bij het spreken gebruik kan maken van lichaamstaal om je boodschap beter over te brengen of te ondersteunen. Ook moet je tijdens het gesprek de lichaamstaal van je gesprekspartner proberen in te schatten om er doeltreffend op te reageren.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Literaire ontwikkeling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drie boeken kiezen en lezen uit de lectuurlijst die je vindt als bijlage.</w:t>
      </w:r>
    </w:p>
    <w:p>
      <w:r>
        <w:rPr/>
        <w:t xml:space="preserve">Je moet je leeservaringen kunnen delen en kunnen aantonen dat je de boeken hebt bestudeerd. Je kan informatie over literatuur vinden in bibliotheken, kranten, tijdschriften, op het internet… Tips over hoe je je lectuuropdracht kunt aanpakken vind je terug in het onderdeel “Opdracht”.</w:t>
      </w:r>
    </w:p>
    <w:p>
      <w:r>
        <w:rPr/>
        <w:t xml:space="preserve">Op het mondelinge examen voer je voor je lectuuropdracht de volgende taken uit.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reactie geven over de inhoud van een boek</w:t>
              <w:br/>
              <w:t xml:space="preserve"/>
              <w:br/>
              <w:t xml:space="preserve">persoonlijke situaties, gebeurtenissen, ervaringen en interesses beschrijven die je in verband kan brengen met de inhoud van een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een boek bij je oproepen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boek op een overzichtelijke manier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je leeservaring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van sommige verhaalelementen toelichten zoals personages, tijd en ruimte</w:t>
              <w:br/>
              <w:t xml:space="preserve"/>
              <w:br/>
              <w:t xml:space="preserve">je keuze voor een boek toelichten en evalueren</w:t>
              <w:br/>
              <w:t xml:space="preserve"/>
              <w:br/>
              <w:t xml:space="preserve">gevoelens of een waardering toelichten bij de inhoud van een boek</w:t>
              <w:br/>
              <w:t xml:space="preserve"/>
              <w:br/>
              <w:t xml:space="preserve">een standpunt over de inhoud van een boek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Literaire 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zal je een literair fragment krijgen. Dit kan een verhaal, een gedicht of een toneeltekst zijn. In dat fragment moet je genrekenmerken en verhaalelementen kunnen herkennen en benoemen.</w:t>
      </w:r>
    </w:p>
    <w:p>
      <w:r>
        <w:rPr/>
        <w:t xml:space="preserve">Je gebruikt daarvoor de juiste literaire begrippen.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Welke literaire begrippen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genrekenmerken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bepaalde genres zoals de column, het kortverhaal, de (jeugd-)roman, (jeugd-)poëzie, strips, (jeugd-)theater, tv-drama, de soap, de sage, de fabel, de legende, de mythe, het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herkennen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je kennis van verhaalelementen toepassen op een literair fragment door ze te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verhaalelementen zoals personages, spanning, thema, tijd, ruimte, ik- en hijverteller,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literaire begrippen gebruiken om een literair fragment te begrijpen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literaire begrippen om poëzie, proza en theater te beschrijven en te analyseren zoals rijm, alliteratie, strofe, metafoor, open en gesloten einde, karakters en types, flashback, mimiek, dialoog,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Taalbeschouwing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schriftelijke examen moet je enkele vragen beantwoorden over taalbeschouwing. Je moet daarvoor een aantal aspecten van het taalgebruik en het taalsysteem kunnen herkennen, benoemen en toepassen. In de derde kolom van deze tabel geven we enkele voorbeelden. Je vindt een volledige lijst in de bijlages.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Sociolinguïstiek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van het Standaardnederlands en andere standaardtalen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streektaal, tussentaal, standaardtaal, vaktaal, jongerentaal, instructietaal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kenmerken van de verschillende taalvariëteiten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kenmerken van nationale, regionale, sociale en situationele taalvariëteiten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Pragmatiek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factoren van een communicatiesituatie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factoren van een communicatiesituatie, zoals zender, ruis, medium</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Spelling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toepassen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spellingconventies van het Standaardnederlands toepassen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spellingconventies van het Standaardnederlands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Woord- en zinssemantiek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kunnen?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doen?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kennen?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de gevoelswaarde van woorden omschrijven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denotatie, connotatie, eufemisme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begrippen die betekenisrelaties aangeven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zoals homoniemen, synoniemen, antoniemen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vormen van beeldspraak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vormen van beeldspraak, zoals vergelijking, metafoor, personificatie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letterlijke en figuurlijke betekenis van woorden en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het onderscheid tussen letterlijke en figuurlijke betekenis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herkennen en benoemen</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modaliteit van zinnen herkennen en benoemen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modale (hulp)werkwoorden zoals moeten, kunnen, mogen, willen, zullen, lijken, blijken, schijnen, weten, geloven, menen</w:t>
              <w:br/>
              <w:t xml:space="preserve"/>
              <w:br/>
              <w:t xml:space="preserve">bijwoorden van modaliteit zoals misschien, meestal, inderdaad</w:t>
              <w:br/>
              <w:t xml:space="preserve"/>
              <w:br/>
              <w:t xml:space="preserve">soorten modaliteit zoals mogelijkheid, noodzakelijkheid, waarschijnlijkheid, wenselijkheid, werkelijkheid</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Voor het mondelinge examen bereid je thuis een lectuuropdracht voor. Je moet daarvoor 3 boeken kiezen uit de lectuurlijst die je vindt in het bijgevoegde document. Uit de eerste periode kies je één titel. Uit de tweede periode kies je twee titels. Je leest de boeken in hun originele tekstvorm. Van de boeken die je gelezen hebt, moet je de inhoud kennen en je leeservaring kunnen beschrijven. Je kan bovendien de cultuurhistorische context van je boeken duiden.</w:t>
        <w:br/>
        <w:t>In het bijgevoegde document vind je wat we precies van jou verwachten.</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Bijlage_Nederlands_2aso_literaire termen.pdf</w:t>
      </w:r>
      <w:r w:rsidRPr="003E4776">
        <w:t/>
      </w:r>
    </w:p>
    <w:p w14:paraId="499D1B0A" w14:textId="79267327" w:rsidR="0076163F" w:rsidRDefault="0076163F" w:rsidP="0076163F">
      <w:r w:rsidRPr="003E4776">
        <w:t/>
      </w:r>
      <w:r>
        <w:t>Bijlage_Nederlands_2aso_taalbeschouwing.pdf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literaire competentie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taalbeschouwing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 Anders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br/>
              <w:t xml:space="preserve"/>
              <w:br/>
              <w:t xml:space="preserve">013/78 01 11</w:t>
              <w:br/>
              <w:t xml:space="preserve"/>
              <w:br/>
              <w:t xml:space="preserve">info@verbode.be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Focus</w:t>
              <w:br/>
              <w:t xml:space="preserve"/>
              <w:br/>
              <w:t xml:space="preserve">Nieuw talent voor taal</w:t>
              <w:br/>
              <w:t xml:space="preserve"/>
              <w:br/>
              <w:t xml:space="preserve">Netwerk TaalCentraal</w:t>
              <w:br/>
              <w:t xml:space="preserve"/>
              <w:br/>
              <w:t xml:space="preserve">Nieuw Netwerk Nederlands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 / 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491 14 80</w:t>
              <w:br/>
              <w:t xml:space="preserve">secundair.onderwijs@vanin.be</w:t>
              <w:br/>
              <w:t xml:space="preserve"/>
              <w:br/>
              <w:t xml:space="preserve">Voor De Boeck-artikelen:</w:t>
              <w:br/>
              <w:t xml:space="preserve">T: 0800 99 613</w:t>
              <w:br/>
              <w:t xml:space="preserve">M: bestellingen@deboeck.com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Frappant</w:t>
              <w:br/>
              <w:t xml:space="preserve"/>
              <w:br/>
              <w:t xml:space="preserve">Markant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Link!</w:t>
              <w:br/>
              <w:t xml:space="preserve"/>
              <w:br/>
              <w:t xml:space="preserve">Vitaal Plus</w:t>
              <w:br/>
              <w:t xml:space="preserve"/>
              <w:br/>
              <w:t xml:space="preserve">Impact Nederlands Leerwerkboek (incl. Scoodle)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www.nederlandsetaaltest.nl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Test je kennis van de Nederlandse taal op het vlak van spelling, grammatica, woordenschat en stijl.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www.taalunieversum.org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Taaladvies op maat, de onlineversie van Het Groene Boekje en de volledige Nederlandse grammatica online te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woordenlijst Nederlandse taal, de officiële spelling(sregels)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www.literatuurgeschiedenis.nl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21e eeuw: schrijvers, teksten en thema's.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http://www.npo.nl/literatuurgeschiedenis/POMS_S_NTR_100557</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Tv-uitzendingen: de Nederlandse literatuurgeschiedenis: thematisch (middeleeuwen tot 20e eeuw).</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users.telenet.be/koertvandevelde/theorie/leerl5D.htm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Van de middeleeuwen tot de jaren 1970: kort overzicht van de Nederlandse literatuurgeschiedenis.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br/>
              <w:t xml:space="preserve"/>
              <w:br/>
              <w:t xml:space="preserve">www.demorgen.be</w:t>
              <w:br/>
              <w:t xml:space="preserve"/>
              <w:br/>
              <w:t xml:space="preserve">www.standaard.be</w:t>
              <w:br/>
              <w:t xml:space="preserve"/>
              <w:br/>
              <w:t xml:space="preserve">www.deredactie.be</w:t>
              <w:br/>
              <w:t xml:space="preserve"/>
              <w:br/>
              <w:t xml:space="preserve">www.vrt.be/vrtnu/</w:t>
              <w:br/>
              <w:t xml:space="preserve"/>
              <w:br/>
              <w:t xml:space="preserve">www.radio1.be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b/>
              </w:rPr>
              <w:t xml:space="preserve">Cultuur en actualiteit</w:t>
            </w:r>
            <w:r>
              <w:rPr/>
              <w:t xml:space="preserve"/>
              <w:br/>
              <w:t xml:space="preserve"/>
              <w:br/>
              <w:t xml:space="preserve">Door regelmatig te lezen of programma's te bekijken of beluisteren, kan je jezelf verrijken. Daarnaast versterk je je taalbeheersing. Bovendien verruim je je blik op het socioculturele leven van het Nederlandstalige cultuurgebied. Daardoor zal je doeltreffender kunnen communiceren met Nederlandstaligen. Op deze websites vind je teksten en programma's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Daniëls, W., </w:t>
            </w:r>
            <w:r>
              <w:rPr>
                <w:i/>
              </w:rPr>
              <w:t xml:space="preserve">Van Dale Junior spreekwoordenboek</w:t>
            </w:r>
            <w:r>
              <w:rPr/>
              <w:t xml:space="preserve">, VBK Media, 2009, ISBN 9789066488694</w:t>
              <w:br/>
              <w:t xml:space="preserve"/>
              <w:br/>
              <w:t xml:space="preserve">Matheesen, R., e.a., </w:t>
            </w:r>
            <w:r>
              <w:rPr>
                <w:i/>
              </w:rPr>
              <w:t xml:space="preserve">Schooltaalwoordenboek</w:t>
            </w:r>
            <w:r>
              <w:rPr/>
              <w:t xml:space="preserve">, Pelckmans, 2010, ISBN 9789028952782</w:t>
              <w:br/>
              <w:t xml:space="preserve"/>
              <w:br/>
              <w:t xml:space="preserve">Pol, J., e.a., Stoomcursus woordenschat, Uitgeverij Deviant Amersfoort, 2000, ISBN 9789080474642</w:t>
              <w:br/>
              <w:t xml:space="preserve"/>
              <w:br/>
              <w:t xml:space="preserve">Verburg, M., </w:t>
            </w:r>
            <w:r>
              <w:rPr>
                <w:i/>
              </w:rPr>
              <w:t xml:space="preserve">Van Dale Basiswoordenboek Nederlands</w:t>
            </w:r>
            <w:r>
              <w:rPr/>
              <w:t xml:space="preserve">, VBK Media, 2009, ISBN 9789066488687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woordenschat en woordenboeken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Kustermans, P., e.a., </w:t>
            </w:r>
            <w:r>
              <w:rPr>
                <w:i/>
              </w:rPr>
              <w:t xml:space="preserve">Nieuw werkschrift voor spelling 2</w:t>
            </w:r>
            <w:r>
              <w:rPr/>
              <w:t xml:space="preserve">, De Boeck, 2005, ISBN 9789045515489</w:t>
              <w:br/>
              <w:t xml:space="preserve"/>
              <w:br/>
              <w:t xml:space="preserve">Kustermans, P., e.a., </w:t>
            </w:r>
            <w:r>
              <w:rPr>
                <w:i/>
              </w:rPr>
              <w:t xml:space="preserve">Nieuw werkschrift voor spelling 2</w:t>
            </w:r>
            <w:r>
              <w:rPr/>
              <w:t xml:space="preserve">, handleiding en dictees (modeloplossingen), De Boeck, 2005, ISBN 9789045515496</w:t>
              <w:br/>
              <w:t xml:space="preserve"/>
              <w:br/>
              <w:t xml:space="preserve"/>
            </w:r>
            <w:r>
              <w:rPr>
                <w:i/>
              </w:rPr>
              <w:t xml:space="preserve">Zo spel je Zoo</w:t>
            </w:r>
            <w:r>
              <w:rPr/>
              <w:t xml:space="preserve">, vademecum, Van In, 2004, ISBN 9789030634475</w:t>
              <w:br/>
              <w:t xml:space="preserve">Oefenboek 1, ISBN 9789030637622</w:t>
              <w:br/>
              <w:t xml:space="preserve">Oefenboek 2, ISBN 9789030637684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spelling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Schryver, J., e.a., </w:t>
            </w:r>
            <w:r>
              <w:rPr>
                <w:i/>
              </w:rPr>
              <w:t xml:space="preserve">Handboek spraakkunst</w:t>
            </w:r>
            <w:r>
              <w:rPr/>
              <w:t xml:space="preserve">, Plantyn, 2015, ISBN 9789030187530</w:t>
              <w:br/>
              <w:t xml:space="preserve"/>
              <w:br/>
              <w:t xml:space="preserve">Houet, H., </w:t>
            </w:r>
            <w:r>
              <w:rPr>
                <w:i/>
              </w:rPr>
              <w:t xml:space="preserve">Grammatica Nederlands</w:t>
            </w:r>
            <w:r>
              <w:rPr/>
              <w:t xml:space="preserve">, Prisma, 2013, ISBN 9789000331741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grammatica en oefeningen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Goossens, M., </w:t>
            </w:r>
            <w:r>
              <w:rPr>
                <w:i/>
              </w:rPr>
              <w:t xml:space="preserve">Zonder fout!</w:t>
            </w:r>
            <w:r>
              <w:rPr/>
              <w:t xml:space="preserve">, WPG-uitg., 2008, ISBN 9789034192769</w:t>
              <w:br/>
              <w:t xml:space="preserve"/>
              <w:br/>
              <w:t xml:space="preserve">Pak D., </w:t>
            </w:r>
            <w:r>
              <w:rPr>
                <w:i/>
              </w:rPr>
              <w:t xml:space="preserve">Vlekkeloos Nederlands</w:t>
            </w:r>
            <w:r>
              <w:rPr/>
              <w:t xml:space="preserve"> (+antwoorden), uitg. Pak, 2008, ISBN 9789077018590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verbeteren of vermijden van frequente taalfouten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Blomme, I., e.a., </w:t>
            </w:r>
            <w:r>
              <w:rPr>
                <w:i/>
              </w:rPr>
              <w:t xml:space="preserve">Nu versta ik je!</w:t>
            </w:r>
            <w:r>
              <w:rPr/>
              <w:t xml:space="preserve">, Uitgeverij Acco C.V., 2013, ISBN 9789033493164</w:t>
              <w:br/>
              <w:t xml:space="preserve"/>
              <w:br/>
              <w:t xml:space="preserve">Van Veen, Ch., </w:t>
            </w:r>
            <w:r>
              <w:rPr>
                <w:i/>
              </w:rPr>
              <w:t xml:space="preserve">Uitspraaktrainer in de les + cd-rom</w:t>
            </w:r>
            <w:r>
              <w:rPr/>
              <w:t xml:space="preserve">, Boom, 2009, ISBN 9789085067436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uitspraakproblemen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