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(ST)</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D/2010/7841/005</w:t>
        <w:br/>
        <w:t>GO TV Toegepaste informatica 2007/076 en TV Dactylografie/toegepaste informatica 2007/075</w:t>
        <w:br/>
        <w:t>OVSG O/2/2009/327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een secretariaatsfunctie in het bedrijfsleven of op een administratieve dienst.</w:t>
      </w:r>
    </w:p>
    <w:p>
      <w:r>
        <w:rPr/>
        <w:t xml:space="preserve"/>
        <w:br/>
        <w:t xml:space="preserve">We beschrijven in deze vakfiche leerdoelen die je moet bereiken om mee te draaien in een managementondersteunende functie. We besteden uitgebreid aandacht aan klassieke onderdelen zoals tekstverwerking, rekenblad, databasebeheer en presentaties. Maar ook de evoluties in de ICT-wereld komen aan bod.</w:t>
      </w:r>
    </w:p>
    <w:p>
      <w:r>
        <w:rPr/>
        <w:t xml:space="preserve"/>
        <w:br/>
        <w:t xml:space="preserve">De derde graad Secretariaat-Talen bereidt je voor op een vervolgopleiding in een professionele bachelor of op een secretariaatsfunctie. Het vak informatica laat je toe om de nodige inzichten, vaardigheden en attitudes voor ICT te verwerven.</w:t>
      </w:r>
    </w:p>
    <w:p>
      <w:r>
        <w:rPr/>
        <w:t xml:space="preserve"/>
        <w:b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Gegevensbeheer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de functie van verschillende netwerkcomponenten van een thuisnetwerk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uit andere toepassingsprogramma’s integreren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maken van een brief, mailing of etiketten met een adreslijst uit een databank of rekenblad verduidelijken en toepassen</w:t>
              <w:br/>
              <w:t xml:space="preserve">de verschillende manieren van importeren van gegevens uit een rekenblad verduidelijken en toepassen: als afbeelding of tekst (met of zonder opmaak), met of zonder koppeling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br/>
              <w:t xml:space="preserve">formules opstellen met koppeling naar gegevens in een ander werkblad en/of een andere werkmap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extra functionaliteiten efficiënt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vervolgkeuzelijst illustreren</w:t>
              <w:br/>
              <w:t xml:space="preserve">vervolgkeuzelijst maken</w:t>
              <w:br/>
              <w:t xml:space="preserve">het nut van een Excel-tabel verduidelijken</w:t>
              <w:br/>
              <w:t xml:space="preserve">een Excel-tabel maken, daarin gegevens sorteren en datum-, tekst- en getalfilters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en toepassen van het exporteren van gegevens en grafieken naar een tekstverwerker door koppelen of insluiten</w:t>
              <w:br/>
              <w:t xml:space="preserve">exporteren van gegevens en grafieken naar een presentatie door koppelen of insluiten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integratie met een databank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exporteren van gegevens naar een databank (kopie maken of koppelen) toelichten en toepassen</w:t>
              <w:br/>
              <w:t xml:space="preserve">importeren van gegevens uit een tabel of query uit een databank toelichten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Gegevensbeheer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databank en opbouw van een databank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databank verduidelijken</w:t>
              <w:br/>
              <w:t xml:space="preserve">de basisopbouw (tabel, record, veld, relatie ) van een databank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efficiënt ontwerpen en daarvoor de veldeigenschappen instellen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tabel maken, voor de velden de bijhorende gegevenstypes correct instellen, een berekend veld maken, een keuzelijst maken (met waarden uit een andere tabel/query en met zelf ingebrachte waarden)</w:t>
              <w:br/>
              <w:t xml:space="preserve">verduidelijken en doelgericht instellen van veldeigenschappen: veldlengte, notatie, aantal decimalen, invoermasker, bijschrift, standaardwaarde, validatieregel en tekst, vereist, geïndexeerd</w:t>
              <w:br/>
              <w:t xml:space="preserve">vereisten van een primaire sleutel benoemen, een veld instellen als een primaire sleutel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relaties tussen tabellen 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hebben in relaties tussen tabellen</w:t>
              <w:br/>
              <w:t xml:space="preserve">op een correcte manier relaties tussen tabellen leggen rekening houdend met referentiële integriteit</w:t>
              <w:br/>
              <w:t xml:space="preserve">de gevolgen van referentiële integriteit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databank efficiënt bevragen en de werkwijze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zoeken, sorteren en filteren in een tabel</w:t>
              <w:br/>
              <w:t xml:space="preserve">een doeltreffende selectiequery maken op basis van criteria met behulp van vergelijkings- en logische operatoren</w:t>
              <w:br/>
              <w:t xml:space="preserve">berekende velden gebruiken</w:t>
              <w:br/>
              <w:t xml:space="preserve">berekeningen uitvoeren via query’s zoals som, aantal, gemiddelde, eerste en laatste</w:t>
              <w:br/>
              <w:t xml:space="preserve">werken met verschillende soorten query’s om gegevens toe te voegen, te bewerken of te verwijderen en om een nieuwe tabel aan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gegevens raadplegen en toevoegen met gebruik van formulieren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formulier gebruikt wordt</w:t>
              <w:br/>
              <w:t xml:space="preserve">formulieren ontwerpen (kolomvorm en tabelvorm) en aanpassen</w:t>
              <w:br/>
              <w:t xml:space="preserve">gebruik maken van verschillende besturingselementen (tekstvak, keuzelijst, knop, …)</w:t>
              <w:br/>
              <w:t xml:space="preserve">records toevoegen, wijzigen en verwijderen door middel van een formulier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doelgericht voorstellen met rapporten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verduidelijken waarvoor een rapport gebruikt wordt</w:t>
              <w:br/>
              <w:t xml:space="preserve">rapporten (inclusief groeperen, sorteren en totalen) maken en aanpassen</w:t>
              <w:br/>
              <w:t xml:space="preserve">etiketten maken</w:t>
              <w:br/>
              <w:t xml:space="preserve">pagina- en afdrukinstellingen (inclusief voettekst, koptekst)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diamodel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van een diamodel verduidelijken</w:t>
              <w:br/>
              <w:t xml:space="preserve">aanpassingen doorvoeren aan een diamodel</w:t>
              <w:br/>
              <w:t xml:space="preserve">een diamodel maken als basis voor een presentatie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en MS Office.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Gegevensbheer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uit deze vakfiche. Je hoeft dus niet alle voorgestelde boeken aan te schaffen om te kunnen slagen voor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 Access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