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drie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twee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 1A_lectuurlijst_2019.pdf</w:t>
      </w:r>
      <w:r w:rsidRPr="003E4776">
        <w:t/>
      </w:r>
    </w:p>
    <w:p w14:paraId="5B5E3ED3" w14:textId="0FE7D0D3" w:rsidR="0076163F" w:rsidRDefault="0076163F" w:rsidP="0076163F">
      <w:r w:rsidRPr="003E4776">
        <w:t/>
      </w:r>
      <w:r>
        <w:t>Bijlage_Nederlands 1A_lectuuropdracht_2019.pdf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w:t>
            </w:r>
            <w:r>
              <w:rPr/>
              <w:t xml:space="preserve">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