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cultuurwetenschappen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gedragswetenschappen bestudeer  je hoe een individu en een samenleving functioneren en hoe de mens over dat functioneren nadenkt. Je zoekt naar verklaringen in de psychologie en de sociologie. In de cultuurwetenschappen onderzoek je hoe de mens zich uitdrukt in een samenleving. Je zoekt naar gelijkenissen en verschillen tussen samenlevingen en probeert die te verbinden met grotere maatschappelijke structuren.</w:t>
      </w:r>
    </w:p>
    <w:p>
      <w:r>
        <w:rPr/>
        <w:t xml:space="preserve"/>
      </w:r>
      <w:r>
        <w:rPr>
          <w:color w:val="00B050"/>
        </w:rPr>
        <w:t/>
      </w:r>
    </w:p>
    <w:p w14:paraId="70391787" w14:textId="3DB223A8" w:rsidR="00047953" w:rsidRDefault="001D02B3" w:rsidP="0082741A">
      <w:r>
        <w:rPr>
          <w:color w:val="00B050"/>
        </w:rPr>
        <w:t/>
      </w:r>
      <w:r>
        <w:t/>
      </w:r>
      <w:r>
        <w:rPr/>
        <w:t xml:space="preserve">Volgende thema's vind je terug in de cultuurwetenschappen: kunstgeschiedenis, filosofie, politiek, recht, media, geschiedenis, ethiek en antropologie. In de tweede graad maak je één voor één kennis met deze thema's en in de derde graad diep je ze verder uit.</w:t>
        <w:br/>
        <w:t xml:space="preserve"/>
        <w:br/>
        <w:t xml:space="preserve">In de cultuurwetenschappen leer je jezelf en de samenleving beter te plaatsen. Je bestudeert  culturele uitingen van een samenleving en je leert om die uitdrukkingsvormen niet als vanzelfsprekend te beschouwen. Het is boeiend om te ontdekken dat de samenleving er vroeger anders uitzag.  Het  wekt verwondering op dat ze er op andere plaatsen in de wereld anders uitziet. Je gaat aan de slag met onderwerpen die nauw aanleunen bij de actualiteit.</w:t>
        <w:br/>
        <w:t xml:space="preserve"/>
        <w:br/>
        <w:t xml:space="preserve">Daarom is het belangrijk dat je de media kritisch kan volgen. Je krijgt in dit vak informatie over het functioneren van de media en de manieren waarop ze het publiek bespelen. Je wordt gestimuleerd om hierover een eigen mening te vormen. Daarbij leer je ook hoe de mens vroeger en elders dacht over zichzelf en zijn betekenis in de wereld. Je geraakt in de ban van nieuwe ideeën. Bovendien krijg je inzicht in de manier waarop de samenleving georganiseerd is op het gebied van besluitvorming, rechtspraak en sociaal-economische organisaties. Je begrijpt  beter waarom politiek zinvol is. Ten slotte kennis maak je kennis met de manier waarop kunstenaars zich via hun kunstwerken kritisch opstellen in de maatschappij. Naast de studie van de kunst is het ook belangrijk dat je geniet van de schoonheid van kunstwerken.</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Communicatie in de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Expressie in de samenleving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om te bewijzen wat je kent en kan. Hieronder vind je een korte omschrijving van de vier leerinhouden, gevolgd door enkele belangrijke aandachtspunten bij het gebruik van de werkwoorden. Het is voor elk van deze vier leerinhouden belangrijk om de actualiteit te volgen. Er worden op het examen immers vaak actuele artikels gebruikt of actuele onderwerpen aangereikt.</w:t>
      </w:r>
    </w:p>
    <w:p>
      <w:r>
        <w:rPr/>
        <w:t xml:space="preserve">Voor </w:t>
      </w:r>
      <w:r>
        <w:rPr>
          <w:b/>
        </w:rPr>
        <w:t xml:space="preserve">leerinhoud 1</w:t>
      </w:r>
      <w:r>
        <w:rPr/>
        <w:t xml:space="preserve"> bestudeer je het pers- en omroeplandschap in Vlaanderen. Je gaat dieper in op de maatschappelijke betekenis van de media, de invloed die ze uitoefenen, en de relatie tussen de media en de overheid.</w:t>
      </w:r>
    </w:p>
    <w:p>
      <w:r>
        <w:rPr/>
        <w:t xml:space="preserve">Voor </w:t>
      </w:r>
      <w:r>
        <w:rPr>
          <w:b/>
        </w:rPr>
        <w:t xml:space="preserve">leerinhoud 2</w:t>
      </w:r>
      <w:r>
        <w:rPr/>
        <w:t xml:space="preserve"> probeer je inzicht te krijgen in de waarden en normen die mensen hanteren en doorgeven in een samenleving. Je maakt kennis met mens- en wereldbeelden van verschillende filosofen.</w:t>
      </w:r>
    </w:p>
    <w:p>
      <w:r>
        <w:rPr/>
        <w:t xml:space="preserve">Voor</w:t>
      </w:r>
      <w:r>
        <w:rPr>
          <w:b/>
        </w:rPr>
        <w:t xml:space="preserve"> leerinhoud 3</w:t>
      </w:r>
      <w:r>
        <w:rPr/>
        <w:t xml:space="preserve"> neem je de beschrijving van het politieke en het juridische veld onder de loep, net als de wisselwerking tussen alle velden van de maatschappij.</w:t>
      </w:r>
    </w:p>
    <w:p>
      <w:r>
        <w:rPr/>
        <w:t xml:space="preserve">Voor </w:t>
      </w:r>
      <w:r>
        <w:rPr>
          <w:b/>
        </w:rPr>
        <w:t xml:space="preserve">leerinhoud 4</w:t>
      </w:r>
      <w:r>
        <w:rPr/>
        <w:t xml:space="preserve"> verken je de verschillende functies van kunst, en maak je een kunstkritische analyse.</w:t>
      </w:r>
    </w:p>
    <w:p>
      <w:r>
        <w:rPr/>
        <w:t xml:space="preserve">Voor elk van deze vier leerinhouden moet je op het examen aantonen dat je de volgende </w:t>
      </w:r>
      <w:r>
        <w:rPr>
          <w:b/>
        </w:rPr>
        <w:t xml:space="preserve">vaardigheden</w:t>
      </w:r>
      <w:r>
        <w:rPr/>
        <w:t xml:space="preserve"> beheerst:</w:t>
      </w:r>
    </w:p>
    <w:p>
      <w:r>
        <w:rPr/>
        <w:t xml:space="preserve">»       actuele informatie uit bronnenmateriaal zoals beeldmateriaal,  grafieken, cartoons, krantenartikels… gebruiken om leerinhouden te verklaren en te analyseren;</w:t>
      </w:r>
    </w:p>
    <w:p>
      <w:r>
        <w:rPr/>
        <w:t xml:space="preserve">»       uit een tekst de hoofd- en bijzaken van elkaar kunnen onderscheiden;</w:t>
      </w:r>
    </w:p>
    <w:p>
      <w:r>
        <w:rPr/>
        <w:t xml:space="preserve">»       feiten en meningen van elkaar kunnen onderscheiden;</w:t>
      </w:r>
    </w:p>
    <w:p>
      <w:r>
        <w:rPr/>
        <w:t xml:space="preserve">»       de leerinhouden toepassen op de actualiteit.</w:t>
      </w:r>
    </w:p>
    <w:p>
      <w:r>
        <w:rPr/>
        <w:t xml:space="preserve">Als er geschreven bronnen gebruikt worden, zijn dit steeds Nederlandstalige bronnen.</w:t>
      </w:r>
    </w:p>
    <w:p>
      <w:r>
        <w:rPr/>
        <w:t xml:space="preserve">Belangrijke aandachtspunten bij het gebruik van de werkwoorden.</w:t>
      </w:r>
    </w:p>
    <w:p>
      <w:r>
        <w:rPr/>
        <w:t xml:space="preserve">In de tabel 'wat moet je kunnen en doen?’ staat heel vaak dat je iets moet </w:t>
      </w:r>
      <w:r>
        <w:rPr>
          <w:b/>
        </w:rPr>
        <w:t xml:space="preserve">benoemen</w:t>
      </w:r>
      <w:r>
        <w:rPr/>
        <w:t xml:space="preserve"> of </w:t>
      </w:r>
      <w:r>
        <w:rPr>
          <w:b/>
        </w:rPr>
        <w:t xml:space="preserve">beschrijven</w:t>
      </w:r>
      <w:r>
        <w:rPr/>
        <w:t xml:space="preserve">. Benoemen wordt gebruikt bij een begrip. Beschrijven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Dat geldt ook voor de afkortingen die je op een correcte manier voluit moet kunnen schrijven.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 Probeer daar dan dieper op in te gaan.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Communicatie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Soorten massamedia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verschillende soorten massamedia kunnen beschrijven en vergelijken met elkaar. Het gaat hier alleen om voorbeelden uit de Vlaamse massamedia.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geschreven massamedia: de krant en het tijdschrift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benoemen tussen de krant en het tijdschrift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eliteproduct naar massaproduct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eliteproduct naar massaproduct beschrijven</w:t>
              <w:br/>
              <w:t xml:space="preserve"/>
              <w:br/>
              <w:t xml:space="preserve">verklaren waarom deze evolutie samenging met het democratiseringsproces van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kranten en hun digitale versies: De Morgen, Gazet van Antwerpen, Het Nieuwsblad, De Standaard, Het Belang van Limburg, De Tijd, Het Laatste Nieuws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kranten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tijdschrift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tijdschriften: Knack, Steps, Trends, Sport/voetbalmagazine, Dag Allemaal, TV Familie/Blik, Joepie, Clickx, Humo, Libelle, Flair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tijdschriften</w:t>
              <w:br/>
              <w:t xml:space="preserve"/>
              <w:br/>
              <w:t xml:space="preserve">verbanden leggen tussen de cover van een tijdschrift en de doelgroep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audiovisuele massamedia: de televisie, de radio en het internet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openbare omroep en commerciële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commerciële televisiekanalen benoemen</w:t>
              <w:br/>
              <w:t xml:space="preserve"/>
              <w:br/>
              <w:t xml:space="preserve">de openbare omroep en de commerciële televisiekanalen vergelijken</w:t>
              <w:br/>
              <w:t xml:space="preserve"/>
              <w:br/>
              <w:t xml:space="preserve">de commerciële televisiekanalen onderling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regionale televisiekanalen benoemen</w:t>
              <w:br/>
              <w:t xml:space="preserve"/>
              <w:br/>
              <w:t xml:space="preserve">de nationale en de regionale televisiekanalen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openbare zenders: Radio 1, Radio 2, Klara, Studio Brussel, MNM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openbare zenders opsommen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commerciële zenders: Joe FM, Nostalgie, Q Music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commerciële zenders opsommen en vergelijken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openbare en commerciële zenders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openbare en de commerciële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en regionale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het internet op de maatschappij via bijvoorbeeld sociale media, digitaal bankieren, apps, (il)legale downloads, digitale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verklaren ,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Functies en macht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aan de hand van voorbeelden uit de Nederlandstalige pers de functies van massamedia kunnen benoemen, illustreren en toepassen. Massamedia kunnen veel macht en invloed hebben: in dit onderdeel staan theorieën over de macht van de massamedia. Je moet de macht van de media analyseren aan de hand van die theorieën. Je moet de theorieën zelf ook kunnen beoordelen op hun bruikbaarheid.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soorten functies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informatieve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persuasieve functie</w:t>
              <w:br/>
              <w:t xml:space="preserve"/>
              <w:br/>
              <w:t xml:space="preserve"/>
              <w:br/>
              <w:t xml:space="preserve"/>
              <w:br/>
              <w:t xml:space="preserve"/>
              <w:br/>
              <w:t xml:space="preserve">indeling in subfuncties: opiniefunctie, commentaarfunctie, agendafunctie, propaganda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br/>
              <w:t xml:space="preserve"/>
              <w:br/>
              <w:t xml:space="preserve"/>
              <w:br/>
              <w:t xml:space="preserve"/>
              <w:br/>
              <w:t xml:space="preserve"/>
              <w:br/>
              <w:t xml:space="preserve"/>
              <w:br/>
              <w:t xml:space="preserve">deze subfuncties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diverterende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de invloed en macht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injectienaaldtheorie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de media alle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selectieve perceptietheorie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het publiek de meeste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er in deze theorie sprake is van een wisselwerking tussen de media-agenda en de publieksagenda</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lobby’s in 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lobby’s beschrijven in deze theorie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cultivatietheorie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stereotiepe denkbeelden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media stereotiepe denkbeelden doorgeven aan het publiek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in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dit begrip en reclame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 in totalitaire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deze begrippen en totalitaire regimes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propagandatechnieken: demoniseren, verbloemen, zwart/witvoorstelling, herhaling, groepsgevoel, inspelen op angsten, algemeenheden, inspelen op waarden, gebruik van stereotypen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 als vierde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men de media ook de vierde macht noemt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Regulering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analyseer je welke regels de overheid en de economie oplegt aan de massamedia. Je analyseert ook welke regels ze zichzelf opleggen. Je beoordeelt de regulering op hun wenselijkheid.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de regulering van massamedia door de overheid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verklaren waarom deze begrippen thuishoren in een democratie</w:t>
              <w:br/>
              <w:t xml:space="preserve"/>
              <w:br/>
              <w:t xml:space="preserve">illustreren dat er in de wereld verschillen zijn in vrijheid van meningsuiting en persvrijheid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beperkingen op 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illustreren</w:t>
              <w:br/>
              <w:t xml:space="preserve"/>
              <w:br/>
              <w:t xml:space="preserve">voor- en nadelen van deze beperkingen analyseren</w:t>
              <w:br/>
              <w:t xml:space="preserve"/>
              <w:br/>
              <w:t xml:space="preserve">het spanningsveld tussen persvrijheid en privacy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censuur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censuur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bronnengeheim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bronnengeheim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Vlaamse minister van Media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bevoegdheid van 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regelgeving door de Vlaamse overheid bijvoorbeeld de beheersovereenkomst van de openbare omroep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regelgeving door de Vlaamse overheid op de openbare omroep analyseren en beoordelen</w:t>
              <w:br/>
              <w:t xml:space="preserve"/>
              <w:br/>
              <w:t xml:space="preserve">de regelgeving door de Vlaamse overheid op de commerciële omroep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SARC in 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 SARC voluit schrijven</w:t>
              <w:br/>
              <w:t xml:space="preserve"/>
              <w:b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Vlaamse Regulator voor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de regulering van massamedia door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waarom mediaconcentratie meer en meer voorkomt in Vlaanderen</w:t>
              <w:br/>
              <w:t xml:space="preserve"/>
              <w:br/>
              <w:t xml:space="preserve">voor- en nadelen van mediaconcentratie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monopolievorming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analyseren waarom monopolievorming negatieve gevolgen kan hebben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de zelfregulering van de 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code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code beschrijven</w:t>
              <w:br/>
              <w:t xml:space="preserve"/>
              <w:br/>
              <w:t xml:space="preserve">voor- en nadelen van de code van de Raad van de Journalistiek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Jury voor Ethische Praktijken inzake reclame (JEP)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beschrijven</w:t>
              <w:br/>
              <w:t xml:space="preserve"/>
              <w:br/>
              <w:t xml:space="preserve">voor- en nadelen van de JEP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Waarden, normen, ethiek en moraal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uit te leggen hoe waarden en normen ontstaan. Aan de hand van een concreet voorbeeld moet je waarden kunnen vaststellen in opvattingen over een bepaald thema. Je moet over dat thema een eigen standpunt kunnen innemen.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 en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illustreren en toepassen</w:t>
              <w:br/>
              <w:t xml:space="preserve"/>
              <w:br/>
              <w:t xml:space="preserve">verbanden leggen tussen waarden en normen</w:t>
              <w:br/>
              <w:t xml:space="preserve"/>
              <w:br/>
              <w:t xml:space="preserve">verbanden leggen tussen waarden en de tijd waarin ze ontstaan zijn</w:t>
              <w:br/>
              <w:t xml:space="preserve"/>
              <w:br/>
              <w:t xml:space="preserve">verbanden leggen tussen waarden en de plaats waar ze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en formele normenstelsels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ethiek en moraal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moraal en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moraal en godsdienst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verklaringen voor ethisch gedrag</w:t>
              <w:br/>
              <w:t xml:space="preserve"/>
              <w:br/>
              <w:t xml:space="preserve">de religieuze verklaringen voor ethisch gedrag</w:t>
              <w:br/>
              <w:t xml:space="preserve"/>
              <w:br/>
              <w:t xml:space="preserve">de wetenschappelijke verklaringen voor ethisch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
              <w:br/>
              <w:t xml:space="preserve"/>
              <w:br/>
              <w:t xml:space="preserve">deze verklaringen beschrijven en toepassen</w:t>
              <w:br/>
              <w:t xml:space="preserve"/>
              <w:br/>
              <w:t xml:space="preserve">deze verklaringen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
              <w:br/>
              <w:t xml:space="preserve">het ethisch dilemma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dit begrip benoemen</w:t>
              <w:br/>
              <w:t xml:space="preserve"/>
              <w:br/>
              <w:t xml:space="preserve">de pro en contra argumenten van een ethisch dilemma analyseren en beoordelen</w:t>
              <w:br/>
              <w:t xml:space="preserve"/>
              <w:br/>
              <w:t xml:space="preserve">de achterliggende waarden van die argumenten vaststellen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Overdracht en uitdrukking van 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aan de hand van teksten en afbeeldingen uitleggen hoe waarden worden overgedragen in een samenleving. Je zal ook moeten uitleggen hoe men waarden uitdrukt.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2.2.1 de overdracht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opvoeding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opvoeding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het onderwijs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het onderwijs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media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formele kanalen zoals recht, reglementen en deontologische codes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deze formele kanalen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Universele verklaring van de Rechten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waarden en concrete artikels van de Universele Verklaring van de Rechten van de Mens</w:t>
              <w:br/>
              <w:t xml:space="preserve"/>
              <w:br/>
              <w:t xml:space="preserve">de universaliteit van de waarden uit de Universele Verklaring van de Rechten van de Mens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godsdienst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2.2.2 de uitdrukking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verhalen/mythologie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mythologie definiëren</w:t>
              <w:br/>
              <w:t xml:space="preserve"/>
              <w:br/>
              <w:t xml:space="preserve">waarden toepassen op verhalen en mythes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tradities en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tradities en symbolen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concrete voorbeelden van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Mens- en wereldbeeld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enkele basisbegrippen uit de filosofie benoemen. Je moet in staat zijn om ideeën van verschillende denkers toe te passen. Je moet ook in staat zijn om mensbeelden, wereldbeelden en godsbeelden uit te leggen.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2.3.1 de filosofie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filosofie</w:t>
              <w:br/>
              <w:t xml:space="preserve"/>
              <w:br/>
              <w:t xml:space="preserve">de soorten filosofie: metafysica, ontologie, natuurfilosofie, wijsgerige antropologie, ethiek, epistemologie, taalfilosofie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soorten filosofie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verwondering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filosofische verwondering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de 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westerse filosofie in Griekenland ontstond</w:t>
              <w:br/>
              <w:t xml:space="preserve"/>
              <w:br/>
              <w:t xml:space="preserve">filosofen vergelijken voor en na Socrates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vraag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een filosofische vraag benoemen en toepassen</w:t>
              <w:br/>
              <w:t xml:space="preserve"/>
              <w:br/>
              <w:t xml:space="preserve">een filosofisch en een wetenschappelijk antwoord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2.3.2 levensvragen en zinvragen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levensvragen en zinvragen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leggen tussen levensvragen en zinvragen en de tijd waarin ze ontstaan zijn: prehistorie, klassieke oudheid, middeleeuwen, nieuwe tijd, nieuwste tijd, eigen tijd</w:t>
              <w:br/>
              <w:t xml:space="preserve"/>
              <w:br/>
              <w:t xml:space="preserve">verbanden leggen tussen levensvragen en zinvragen en de plaats of cultuur waar ze ontstaan zijn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Socrates, Plato, Aristoteles, Confucius, Erasmus, Martin Luther, Thomas More, René Descartes, John Locke, Immanuel Kant, Jean-Jacques Rousseau, Karl Marx, Jean-Paul Sartre, Etienne Vermeersch, Alain de Botton, Francis Fukuyama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denkers situeren in tijd en ruimte</w:t>
              <w:br/>
              <w:t xml:space="preserve"/>
              <w:br/>
              <w:t xml:space="preserve">kernideeën van deze denkers benoemen en toepassen</w:t>
              <w:br/>
              <w:t xml:space="preserve"/>
              <w:br/>
              <w:t xml:space="preserve">analyseren hoe deze denkers actuele wereldbeelden beïnvloed hebben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2.3.3 mens- en wereldbeeld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 godsbeeld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wereldbeelden: mythologisch, monisme, dualisme, theocentrisme, antropocentrisme, humanisme, individualisme, empirisme, rationalisme, materialisme, Big Bang-theorie, geocentrisme, heliocentrisme, kolonialisme, kapitalisme, verlichting, romantiek, marxisme, evolutietheorie, botsing van beschavingen, (post)modernisme, magisch wereldbeeld, andersglobalisten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mens- en wereldbeelden beschrijven en toepassen</w:t>
              <w:br/>
              <w:t xml:space="preserve"/>
              <w:br/>
              <w:t xml:space="preserve">deze mens- en wereldbeelden situeren in tijd en ruimte</w:t>
              <w:br/>
              <w:t xml:space="preserve"/>
              <w:br/>
              <w:t xml:space="preserve">deze mens- en wereldbeelden vergelijken en inhoudelijke overeenkomsten en verschillen verklaren</w:t>
              <w:br/>
              <w:t xml:space="preserve"/>
              <w:br/>
              <w:t xml:space="preserve">verbanden leggen tussen de ideeën van de denkers in punt 2.3.2 en deze mens- en wereldbeelden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godsbeelden: monotheïsme, polytheïsme, atheïsme, deïsme, creationisme, intelligent design, fundamentalisme, opium van het volk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godsbeelden beschrijven en toepassen</w:t>
              <w:br/>
              <w:t xml:space="preserve"/>
              <w:br/>
              <w:t xml:space="preserve">deze godsbeelden situeren in tijd en ruimte</w:t>
              <w:br/>
              <w:t xml:space="preserve"/>
              <w:br/>
              <w:t xml:space="preserve">verbanden leggen tussen de ideeën van de denkers in punt 2.3.2 en deze godsbeelden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Politiek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een beschrijving geven van de werking van het politieke veld. Soms gaat het over algemene zaken zoals organisatievormen, maar meestal wordt de situatie toegepast op België en Vlaanderen. Je zal verschillende begrippen en processen moeten toepassen en analyseren. Voor dit onderdeel zal het je helpen om de actualiteit via het nieuws te volgen.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politieke organisatievormen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organisatievormen: monarchie, republiek, theocratie, totalitair regime of dictatuur,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politieke organisatievormen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de democratische rechtsstaat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democratische rechtsstaat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democratische rechtsstaat beschrijven</w:t>
              <w:br/>
              <w:t xml:space="preserve"/>
              <w:br/>
              <w:t xml:space="preserve">werking van de democratische rechtsstaat beschrijven</w:t>
              <w:br/>
              <w:t xml:space="preserve"/>
              <w:br/>
              <w:t xml:space="preserve">voor- en nadelen van de werking van de democratische rechtsstaat beschrijven, toepassen en analyseren</w:t>
              <w:br/>
              <w:t xml:space="preserve"/>
              <w:br/>
              <w:t xml:space="preserve">verbanden leggen tussen de democratische rechtsstaat en de waarden van de westerse maatschappij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scheiding der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de scheiding der machten beschrijven, toepassen en analyseren</w:t>
              <w:br/>
              <w:t xml:space="preserve"/>
              <w:br/>
              <w:t xml:space="preserve">verklaren wat de macht is van de media naast de drie traditionele machten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hoe de grondwet in België kan gewijzigd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om een wet/decreet in België te maken: wetsontwerp, wetsvoorstel, stemming, handtekening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3.1.3 de verkiezingen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van verkiezingen tot en met de vorming van de regering in België: campagne, oproepingsbrief, opkomstplicht, lijststem, kopstem, volmacht, lijsttrekker, lijstduwer, verkiezingen, zetelverdeling, informateur, formateur, coalitie, meerderheid, regeerakkoord, ministers aanduiden, rol van de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aan de hand van deze begrippen</w:t>
              <w:br/>
              <w:t xml:space="preserve"/>
              <w:br/>
              <w:t xml:space="preserve">deze begrippen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3.1.4 de politieke participatie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3.1.5 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de Belgische federale staat: gemeenschappen, gewesten, provincies en de gemeente en hun bevoegdheden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toepassen en analyseren</w:t>
              <w:br/>
              <w:t xml:space="preserve"/>
              <w:b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w:t>
              <w:br/>
              <w:t xml:space="preserve"/>
              <w:br/>
              <w:t xml:space="preserve">verklaren waarom België een federale staat geworden is</w:t>
              <w:br/>
              <w:t xml:space="preserve"/>
              <w:br/>
              <w:t xml:space="preserve">verklaren wanneer België een federale staat geworden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3.1.6 de politieke ideologieën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ideologieën: sociaaldemocratie, liberalisme, communisme, fascisme, christendemocratie, nationalisme, ecologisme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ideologieën beschrijven, toepassen en analyseren</w:t>
              <w:br/>
              <w:t xml:space="preserve"/>
              <w:br/>
              <w:t xml:space="preserve">verbanden leggen tussen deze ideologieën en de standpunten van de Vlaamse politieke partijen</w:t>
              <w:br/>
              <w:t xml:space="preserve"/>
              <w:br/>
              <w:t xml:space="preserve">linkse en rechtse ideologieën onderscheiden van elkaar in concrete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3.1.7 de Vlaamse politieke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CD&amp;V, Groen, N-VA, Open Vld, PVDA, Vooruit, Vlaams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deze partijen voluit schrijven</w:t>
              <w:br/>
              <w:t xml:space="preserve"/>
              <w:br/>
              <w:t xml:space="preserve">de Waalse partijen van dezelfde ideologische strekking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voorzitters van de Vlaamse politieke partijen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voorzitters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standpunten verbinden met de juiste partij</w:t>
              <w:br/>
              <w:t xml:space="preserve"/>
              <w:br/>
              <w:t xml:space="preserve">standpunten vergelijken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in de Belgische samenleving: economisch, levensbeschouwelijk en communautair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benoemen en toepassen</w:t>
              <w:br/>
              <w:t xml:space="preserve"/>
              <w:br/>
              <w:t xml:space="preserve">deze breuklijnen verbinden met de juiste partij</w:t>
              <w:br/>
              <w:t xml:space="preserve"/>
              <w:br/>
              <w:t xml:space="preserve">verklaren waarom deze breuklijnen typisch Belgisch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3.1.8 het parlement en de regering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oppositie en de coalitie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Belgische politieke partijen verbinden met de oppositie of de coalitie, op het Vlaamse en het federale niveau</w:t>
              <w:br/>
              <w:t xml:space="preserve"/>
              <w:br/>
              <w:t xml:space="preserve">de rol van de oppositie en de coalitie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het parlement en de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een parlement en een regering beschrijven en vergelijken</w:t>
              <w:br/>
              <w:t xml:space="preserve"/>
              <w:br/>
              <w:t xml:space="preserve">de Premier en de Vlaamse Minister-President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State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Grondwettelijk Hof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Rekenhof in het politieke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Juridisch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juridische veld beschrijven: dat is alles wat te maken heeft met de rechtspraak. Tussen rechtspraak, politiek en milieuzorg is een duidelijke wisselwerking. Je moet die wisselwerking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westerse en niet-westerse rechtssystemen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rechtssystemen benoemen en toepassen</w:t>
              <w:br/>
              <w:t xml:space="preserve"/>
              <w:br/>
              <w:t xml:space="preserve">verbanden leggen tussen deze rechtssystemen en politieke organisatievormen (zie 3.1.1)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rechterlijke macht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driehoekstructuur in België met rechtbanken op verschillende niveaus: vredegerecht, politierechtbank, rechtbanken van eerste aanleg, arbeidsrechtbank, ondernemingsrechtbank, hof van beroep, hof van assisen en hof van cassatie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concrete rechtszaken verbinden met de juiste rechtbanken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een burgerlijk en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verloop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beroepsprocedure, recidivist, deurwaarder, rechter, advocaat, griffie(r), openbaar ministerie, procureur, vrederechter, proces-verbaal, opdeciemen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uitdagingen voor de rechterlijke macht in België: wegwerken achterstand, digitalisering, vereenvoudiging procedures, toegankelijkheid, modernisering wetgeving, vertrouwen, hervorming assisen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de wisselwerking beschrijven tussen het politieke en het juridische 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globalisering in de rechtspraak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nationale en supranationale wetgeving: EU, WTO,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politieke besluitvorming beïnvloed wordt door politieke, economische en culturele verwevenheid van de internationale samenleving</w:t>
              <w:br/>
              <w:t xml:space="preserve"/>
              <w:br/>
              <w:t xml:space="preserve">gevolgen beschrijven van dit spanningsveld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Internationaal Strafhof in Den Haag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rechtszaken benoemen die voor het Internationaal Strafhof komen</w:t>
              <w:br/>
              <w:t xml:space="preserve"/>
              <w:br/>
              <w:t xml:space="preserve">voor- en nadelen van het Internationaal Strafhof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internationale milieuverdragen en nationale milieuwetgeving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Sociaal-economisch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sociaal-economische veld beschrijven. Belangrijk is dat je inziet dat er een wisselwerking is tussen het sociale en het politieke veld. Daarnaast is er vooral aandacht voor de wisselwerking tussen economie enerzijds en politiek, ecologie en gezondheidszorg anderzijds. Je moet die wisselwerkingen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3.3.1 de actieve welvaartsstaat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verzorgingsstaat en 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de evolutie van de verzorgingsstaat naar de actieve welvaartsstaat beschrijven en verklaren</w:t>
              <w:br/>
              <w:t xml:space="preserve"/>
              <w:br/>
              <w:t xml:space="preserve">de verzorgingsstaat met de actieve welvaartsstaat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vergrijzing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het politieke antwoord op deze uitdagingen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3.3.2 solidariteit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solidariteit en de Belgische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solidariteit aan de basis ligt van de Belgische sociale zekerheid</w:t>
              <w:br/>
              <w:t xml:space="preserve"/>
              <w:br/>
              <w:t xml:space="preserve">het herverdelingsprincipe in de sociale zekerheid benoemen,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vormen van solidariteit: micro, meso, macro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solidariteit beschrijven, illustreren en toepassen</w:t>
              <w:br/>
              <w:t xml:space="preserve"/>
              <w:br/>
              <w:t xml:space="preserve">deze vormen van solidariteit vergelijken</w:t>
              <w:br/>
              <w:t xml:space="preserve"/>
              <w:br/>
              <w:t xml:space="preserve">voor- en nadelen analyseren</w:t>
              <w:br/>
              <w:t xml:space="preserve"/>
              <w:br/>
              <w:t xml:space="preserve">de effecten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OCMW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leefloon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toepassen en analyseren</w:t>
              <w:br/>
              <w:t xml:space="preserve"/>
              <w:br/>
              <w:t xml:space="preserve">de voorwaarden benoemen om een leefloon te ontvangen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3.3.3 werknemers- en werkgeversorganisaties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werkgevers- en werknemersorganisaties in België: vakbonden (ACV, ABVV, ACLVB), VBO en VOKA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organisaties benoemen</w:t>
              <w:br/>
              <w:t xml:space="preserve"/>
              <w:br/>
              <w:t xml:space="preserve">de rol van deze organisaties verklaren in de uitbouw van de sociale zekerheid</w:t>
              <w:br/>
              <w:t xml:space="preserve"/>
              <w:br/>
              <w:t xml:space="preserve">de standpunten vergelijken van deze organisaties over de actuele uitdagingen van de sociale zekerheid</w:t>
              <w:br/>
              <w:t xml:space="preserve"/>
              <w:br/>
              <w:t xml:space="preserve">illustreren  hoe deze organisaties invloed uitoefenen op het politieke en economische veld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3.3.4 de economische globalisering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br/>
              <w:t xml:space="preserve"/>
              <w:br/>
              <w:t xml:space="preserve">voor- en nadelen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en de macht van multinationals in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ecologie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kernenergie, klimaat,…)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gezondheidszorg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genetische manipulatie, terugbetaling medicatie,…)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Cultureel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de dynamiek tussen wetenschap enerzijds en de samenleving anderzijds analyseren. Je moet ook in staat zijn om bronnen van wetenschappelijke kennis toe te 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criteria van wetenschappelijke 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wetenschappelijke kennis: inductie, deductie, empirisme, rationalisme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common sense-kennis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wetenschappelijke kennis vergelijken met common sense-kennis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wetenschap en techniek op alle domeinen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beschrijven, illustreren, toepassen, analyseren en beoordelen (bijvoorbeeld bril, boekdrukkunst, sociale media, antibiotica, cybercriminaliteit,…)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Expressie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Functies van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uit verschillende kunstdisciplines te combineren met de juiste functies van kunst. Kunstdisciplines die aan bod komen in de vragen zijn schilderkunst, beeldhouwkunst, bouwkunst, muziek, literatuur, fotografie en film. De voorbeelden komen uit verschillende historische periodes. Bij elk kunstwerk wordt de kunstenaar (in de mate van het mogelijke) en de periode waarin het kunstwerk tot stand kwam, vermeld.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amuserende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ideeën en waarden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machtsverhoudingen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kritiek te 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te decoreren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Kunst en de historische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van kunstwerken uit verschillende disciplines te koppelen aan de opgesomde kunststromingen. Het is belangrijk om in te zien dat kunstwerken ontstaan binnen een historische context: er is dus een verband tussen het wereldbeeld van een bepaalde tijd en een kunstwerk uit die tijd. Er komen vier wereldbeelden aan bod, die je ook bij component 2 tegenkomt. Om te verduidelijken dat kunstwerken altijd in een maatschappelijke context ontstaan, moet je het verband leggen tussen wetenschappelijke vernieuwingen en kunst.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kunststromingen: prehistorisch, klassiek, romaans, gotiek, renaissance, barok, classicisme, romantiek, realisme, impressionisme, Art nouveau, expressionisme, kubisme, surrealisme, Pop art, conceptuele kunst, graffiti,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kunststromingen situeren in de tijd</w:t>
              <w:br/>
              <w:t xml:space="preserve"/>
              <w:br/>
              <w:t xml:space="preserve">een kunstwerk verbinden aan een kunststroming</w:t>
              <w:br/>
              <w:t xml:space="preserve"/>
              <w:br/>
              <w:t xml:space="preserve">verklaren waarom je een kunstwerk verbindt met een bepaalde kunststroming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en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een kunstwerk een wereldbeeld doorgeeft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religieus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humanistisch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romantisch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postmodern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Kunst en de kunstkritische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aan de hand van diverse bronnen over één kunstwerk een kunstkritische analyse te maken. Je krijgt dus niet alleen het kunstwerk, maar ook nog extra informatie. Een analyse maak je aan de hand van de vragen die hieronder gesteld worden. De kunstwerken komen uit de kunstdisciplines die onder 4.1 vermeld worden, en uit de kunststromingen die onder 4.2 vermeld worden. Wanneer je een vraag krijgt over recensies, krijg je de recensies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normatieve theorieën over kunst: mimesistheorie, expressietheorie, formele theorie, institutionele 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kunstkritische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kunstwerk uit de opgesomde kunststromingen en kunstdisciplines kunstkritisch analyseren aan de hand van de volgende vragen:</w:t>
              <w:br/>
              <w:t xml:space="preserve">Waar gaat het kunstwerk over?</w:t>
              <w:br/>
              <w:t xml:space="preserve"/>
              <w:br/>
              <w:t xml:space="preserve">Welke boodschap heeft het kunstwerk ?</w:t>
              <w:br/>
              <w:t xml:space="preserve"/>
              <w:br/>
              <w:t xml:space="preserve">Stelt het kunstwerk de werkelijkheid voor zoals die is?</w:t>
              <w:br/>
              <w:t xml:space="preserve"/>
              <w:br/>
              <w:t xml:space="preserve">Met welke middelen of materialen is het kunstwerk gemaakt?</w:t>
              <w:br/>
              <w:t xml:space="preserve"/>
              <w:br/>
              <w:t xml:space="preserve">Met welk doel is het kunstwerk gemaakt?</w:t>
              <w:br/>
              <w:t xml:space="preserve"/>
              <w:br/>
              <w:t xml:space="preserve">In welke tijd en op welke plaats werd het kunstwerk gemaakt?</w:t>
              <w:br/>
              <w:t xml:space="preserve"/>
              <w:br/>
              <w:t xml:space="preserve">Wat is de waardering van het kunstwerk in recensies?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4.4 Kunst en de culturele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te analyseren hoe westerse en niet-westerse kunst elkaar beïnvloeden. Kunst ontstaat immers duidelijk in een eigen culturele context. Je krijgt alleen voorbeelden van de disciplines en namen die we hieronder vermelden.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Arabische kunst op de Westerse cultuur: de Moorse bouwkunst in Spanje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Arabische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Oosterse cultuur op de Westerse cultuur: het japonisme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Japanse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Afrikaanse cultuur op de Westerse cultuur : jazz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Afrikaanse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Oceanische cultuur op de Westerse cultuur : Gauguin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Oceanische kunst behoren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cultuurwetenschappen 3aso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Voor de vragen die peilen naar een eigen mening word je beoordeeld volgens de criteria in de bijlage.</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Kunst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w:t>
              <w:br/>
              <w:t xml:space="preserve"/>
              <w:b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www.dekrachtvanjestem.be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component 'Organisatie en wisselwerking'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