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kunstbeschouwing en filosofie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ontdek je hoe een individu, groepen en een samenleving functioneren en waarom dat zo is. Je zoekt naar verklaringen in onder meer de psychologie, de sociologie, de pedagogiek en de ethiek.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r>
    </w:p>
    <w:p>
      <w:r>
        <w:rPr/>
        <w:t xml:space="preserve">In de cultuurwetenschappen leer je jezelf en de samenleving beter te begrijpen.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r>
    </w:p>
    <w:p>
      <w:r>
        <w:rPr/>
        <w:t xml:space="preserve">Communicatie is belangrijk in onze maatschappij. Sociale media en reclame zijn niet meer weg te denken. Het is belangrijk om daar op een correcte manier mee om te gaan, zodat je je niet laat misleiden. Ons gedrag wordt ook bepaald door onze cultuur: toch was onze cultuur niet altijd dezelfde. Onze cultuur is ook verschillend van andere culturen. Die verschillen komen vaak tot uiting in de kunst. We leven ten slotte in een maatschappij met veel afspraken: het is handig om te weten hoe die samenleving georganiseerd is en aan welke afspraken je je moet houden.</w:t>
      </w:r>
    </w:p>
    <w:p>
      <w:r>
        <w:rP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Hieronder vind je een korte omschrijving van de vier leerinhouden, gevolgd door enkele belangrijke aandachtspunten bij het gebruik van de werkwoorden.</w:t>
      </w:r>
    </w:p>
    <w:p>
      <w:r>
        <w:rPr/>
        <w:t xml:space="preserve">Voor </w:t>
      </w:r>
      <w:r>
        <w:rPr>
          <w:b/>
        </w:rPr>
        <w:t xml:space="preserve">leerinhoud 1</w:t>
      </w:r>
      <w:r>
        <w:rPr/>
        <w:t xml:space="preserve"> bestudeer je het Vlaamse medialandschap. Je analyseert hoe digitale communicatie belangrijke gevolgen heeft. Je bestudeert de eigen taal van reclame.</w:t>
      </w:r>
    </w:p>
    <w:p>
      <w:r>
        <w:rPr/>
        <w:t xml:space="preserve">Voor </w:t>
      </w:r>
      <w:r>
        <w:rPr>
          <w:b/>
        </w:rPr>
        <w:t xml:space="preserve">leerinhoud 2</w:t>
      </w:r>
      <w:r>
        <w:rPr/>
        <w:t xml:space="preserve"> probeer je inzicht te krijgen in de waarden en normen die mensen hanteren en doorgeven in een samenleving. Je beschrijft dat die waarden en normen niet altijd en overal dezelfde zijn. Je vergelijkt verwachtingspatronen in de samenleving voor bepaalde groepen.</w:t>
      </w:r>
    </w:p>
    <w:p>
      <w:r>
        <w:rPr/>
        <w:t xml:space="preserve">Voor </w:t>
      </w:r>
      <w:r>
        <w:rPr>
          <w:b/>
        </w:rPr>
        <w:t xml:space="preserve">leerinhoud 3</w:t>
      </w:r>
      <w:r>
        <w:rPr/>
        <w:t xml:space="preserve"> neem je de beschrijving van de maatschappelijke velden onder de loep: je bestudeert hoe ze veranderen en elkaar beïnvloeden. Telkens is een accent gelegd op een instelling van het lokale niveau.</w:t>
      </w:r>
    </w:p>
    <w:p>
      <w:r>
        <w:rPr/>
        <w:t xml:space="preserve">Voor </w:t>
      </w:r>
      <w:r>
        <w:rPr>
          <w:b/>
        </w:rPr>
        <w:t xml:space="preserve">leerinhoud 4</w:t>
      </w:r>
      <w:r>
        <w:rPr/>
        <w:t xml:space="preserve"> verken je de achterliggende waarden in kunstwerken. Je vergelijkt recensies over hetzelfde kunstwerk.</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Naast de kennis over elk van deze vier leerinhouden moet je op het examen aantonen dat je de volgende </w:t>
      </w:r>
      <w:r>
        <w:rPr>
          <w:b/>
        </w:rPr>
        <w:t xml:space="preserve">vaardigheden </w:t>
      </w:r>
      <w:r>
        <w:rPr/>
        <w:t xml:space="preserve">beheerst:</w:t>
      </w:r>
    </w:p>
    <w:p>
      <w:r>
        <w:rPr/>
        <w:t xml:space="preserve">»       actuele informatie uit bronnenmateriaal zoals beeldmateriaal,  grafieken, cartoons, krantenartikels… gebruiken om leerinhouden te verklaren en te analyseren;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de werkwoorden.</w:t>
      </w:r>
    </w:p>
    <w:p>
      <w:r>
        <w:rPr/>
        <w:t xml:space="preserve">In de tabel 'wat moet je kunnen en doen?’ staat heel vaak dat je iets moet benoemen of beschrijven. </w:t>
      </w:r>
      <w:r>
        <w:rPr>
          <w:b/>
        </w:rPr>
        <w:t xml:space="preserve">Benoemen</w:t>
      </w:r>
      <w:r>
        <w:rPr/>
        <w:t xml:space="preserve"> wordt gebruikt bij een begrip. </w:t>
      </w:r>
      <w:r>
        <w:rPr>
          <w:b/>
        </w:rPr>
        <w:t xml:space="preserve">Beschrijven</w:t>
      </w:r>
      <w:r>
        <w:rPr/>
        <w:t xml:space="preserve">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 Het kan ook zijn dat je een omschrijving krijgt en dat je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in deze vakfiche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heel vaak voor in deze vakfiche. Het betekent dat je de theorie moet kunnen verbinden met gegeven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w:t>
      </w:r>
      <w:r>
        <w:rPr>
          <w:b/>
        </w:rPr>
        <w:t xml:space="preserve"> 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Massacommunicatie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functies van massacommunicatie kunnen toepassen op voorbeelden. Je moet het informatieproces beschrijven: dat is de weg van een gebeurtenis naar een ontvanger.</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het communicatieproces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medium, zender, ontvanger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communicatiemodel van Lasswell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massacommunicatie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massacommunicatie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massacommunicatie</w:t>
            </w:r>
          </w:p>
          <w:p>
            <w:pPr>
              <w:pStyle w:val="ListParagraph"/>
              <w:numPr>
                <w:ilvl w:val="0"/>
                <w:numId w:val="8"/>
              </w:numPr>
            </w:pPr>
            <w:r>
              <w:rPr/>
              <w:t xml:space="preserve">de informatieve functie</w:t>
            </w:r>
          </w:p>
          <w:p>
            <w:pPr>
              <w:pStyle w:val="ListParagraph"/>
              <w:numPr>
                <w:ilvl w:val="0"/>
                <w:numId w:val="8"/>
              </w:numPr>
            </w:pPr>
            <w:r>
              <w:rPr/>
              <w:t xml:space="preserve">de educatieve functie</w:t>
            </w:r>
          </w:p>
          <w:p>
            <w:pPr>
              <w:pStyle w:val="ListParagraph"/>
              <w:numPr>
                <w:ilvl w:val="0"/>
                <w:numId w:val="8"/>
              </w:numPr>
            </w:pPr>
            <w:r>
              <w:rPr/>
              <w:t xml:space="preserve">de persuasieve functie</w:t>
            </w:r>
          </w:p>
          <w:p>
            <w:pPr>
              <w:pStyle w:val="ListParagraph"/>
              <w:numPr>
                <w:ilvl w:val="0"/>
                <w:numId w:val="8"/>
              </w:numPr>
            </w:pPr>
            <w:r>
              <w:rPr/>
              <w:t xml:space="preserve">de diverterende functie</w:t>
            </w:r>
          </w:p>
          <w:p>
            <w:pPr>
              <w:pStyle w:val="ListParagraph"/>
              <w:numPr>
                <w:ilvl w:val="0"/>
                <w:numId w:val="8"/>
              </w:numPr>
            </w:pPr>
            <w:r>
              <w:rPr/>
              <w:t xml:space="preserve">de commerciële functie</w:t>
              <w:br/>
              <w:t xml:space="preserve"/>
            </w:r>
          </w:p>
          <w:p>
            <w:pPr>
              <w:pStyle w:val="ListParagraph"/>
              <w:numPr>
                <w:ilvl w:val="0"/>
                <w:numId w:val="8"/>
              </w:numPr>
            </w:pPr>
            <w:r>
              <w:rPr/>
              <w:t xml:space="preserve">de gemengde functies: edutainment en infotainment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informatieproces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actoren in het informatieproces:</w:t>
              <w:br/>
              <w:t xml:space="preserve"/>
              <w:br/>
              <w:t xml:space="preserve"/>
            </w:r>
          </w:p>
          <w:p>
            <w:pPr>
              <w:pStyle w:val="ListParagraph"/>
              <w:numPr>
                <w:ilvl w:val="0"/>
                <w:numId w:val="9"/>
              </w:numPr>
            </w:pPr>
            <w:r>
              <w:rPr/>
              <w:t xml:space="preserve">nieuwsagentschappen</w:t>
              <w:br/>
              <w:t xml:space="preserve"/>
              <w:br/>
              <w:t xml:space="preserve"/>
            </w:r>
          </w:p>
          <w:p>
            <w:pPr>
              <w:pStyle w:val="ListParagraph"/>
              <w:numPr>
                <w:ilvl w:val="0"/>
                <w:numId w:val="9"/>
              </w:numPr>
            </w:pPr>
            <w:r>
              <w:rPr/>
              <w:t xml:space="preserve"/>
              <w:br/>
              <w:t xml:space="preserve"/>
              <w:br/>
              <w:t xml:space="preserve"/>
              <w:br/>
              <w:t xml:space="preserve"/>
              <w:br/>
              <w:t xml:space="preserve">de verslaggever</w:t>
              <w:br/>
              <w:t xml:space="preserve"/>
              <w:br/>
              <w:t xml:space="preserve"/>
            </w:r>
          </w:p>
          <w:p>
            <w:pPr>
              <w:pStyle w:val="ListParagraph"/>
              <w:numPr>
                <w:ilvl w:val="0"/>
                <w:numId w:val="9"/>
              </w:numPr>
            </w:pPr>
            <w:r>
              <w:rPr/>
              <w:t xml:space="preserve"/>
              <w:br/>
              <w:t xml:space="preserve"/>
              <w:br/>
              <w:t xml:space="preserve">de correspondent</w:t>
              <w:br/>
              <w:t xml:space="preserve"/>
              <w:br/>
              <w:t xml:space="preserve"/>
            </w:r>
          </w:p>
          <w:p>
            <w:pPr>
              <w:pStyle w:val="ListParagraph"/>
              <w:numPr>
                <w:ilvl w:val="0"/>
                <w:numId w:val="9"/>
              </w:numPr>
            </w:pPr>
            <w:r>
              <w:rPr/>
              <w:t xml:space="preserve"/>
              <w:br/>
              <w:t xml:space="preserve"/>
              <w:br/>
              <w:t xml:space="preserve">de freelancejournalist</w:t>
              <w:br/>
              <w:t xml:space="preserve"/>
              <w:br/>
              <w:t xml:space="preserve"/>
            </w:r>
          </w:p>
          <w:p>
            <w:pPr>
              <w:pStyle w:val="ListParagraph"/>
              <w:numPr>
                <w:ilvl w:val="0"/>
                <w:numId w:val="9"/>
              </w:numPr>
            </w:pPr>
            <w:r>
              <w:rPr/>
              <w:t xml:space="preserve"/>
              <w:br/>
              <w:t xml:space="preserve"/>
              <w:br/>
              <w:t xml:space="preserve">de eindredacteur</w:t>
              <w:br/>
              <w:t xml:space="preserve"/>
              <w:br/>
              <w:t xml:space="preserve"/>
            </w:r>
          </w:p>
          <w:p>
            <w:pPr>
              <w:pStyle w:val="ListParagraph"/>
              <w:numPr>
                <w:ilvl w:val="0"/>
                <w:numId w:val="9"/>
              </w:numPr>
            </w:pPr>
            <w:r>
              <w:rPr/>
              <w:t xml:space="preserve"/>
              <w:br/>
              <w:t xml:space="preserve"/>
              <w:br/>
              <w:t xml:space="preserve">de persconferentie</w:t>
              <w:br/>
              <w:t xml:space="preserve"/>
              <w:br/>
              <w:t xml:space="preserve"/>
            </w:r>
          </w:p>
          <w:p>
            <w:pPr>
              <w:pStyle w:val="ListParagraph"/>
              <w:numPr>
                <w:ilvl w:val="0"/>
                <w:numId w:val="9"/>
              </w:numPr>
            </w:pPr>
            <w:r>
              <w:rPr/>
              <w:t xml:space="preserve"/>
              <w:br/>
              <w:t xml:space="preserve"/>
              <w:br/>
              <w:t xml:space="preserve">het individu en de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actoren in het informatieproces beschrijven</w:t>
              <w:b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inhoudelijke en praktische selectiecriteria van het informatieproces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Vlaamse medialandschap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het Vlaamse medialandschap kunnen beschrijven: zowel de geschreven massamedia als de audiovisuele massamedia. Je moet het onderscheid kunnen maken tussen soorten massamedia en die soorten vergelijken. Je moet ook een aantal typische begrippen rond het thema media beschrijven en toepassen op de actualiteit. Je zal mediacijfers moeten analyseren. Deze cijfers worden steeds gegeven op het examen. Ten slotte moet je kunnen aantonen welke gevolgen digitale communicatie heeft.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verzuilde en ontzuilde kranten in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0"/>
              </w:numPr>
            </w:pPr>
            <w:r>
              <w:rPr/>
              <w:t xml:space="preserve">neutrale en opiniekranten</w:t>
            </w:r>
          </w:p>
          <w:p>
            <w:pPr>
              <w:pStyle w:val="ListParagraph"/>
              <w:numPr>
                <w:ilvl w:val="0"/>
                <w:numId w:val="10"/>
              </w:numPr>
            </w:pPr>
            <w:r>
              <w:rPr/>
              <w:t xml:space="preserve">populaire en kwaliteitskranten</w:t>
            </w:r>
          </w:p>
          <w:p>
            <w:pPr>
              <w:pStyle w:val="ListParagraph"/>
              <w:numPr>
                <w:ilvl w:val="0"/>
                <w:numId w:val="10"/>
              </w:numPr>
            </w:pPr>
            <w:r>
              <w:rPr/>
              <w:t xml:space="preserve">nationale en regionale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illustreren</w:t>
              <w:br/>
              <w:t xml:space="preserve"/>
              <w:br/>
              <w:t xml:space="preserve">deze kranten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tabloid en sensatiepers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persconcentratie in mediagroepen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persconcentratie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oplage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oplage en het marktaandeel van kranten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editoriaal, column, opiniestuk, rubriek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tijdschriften: nichebladen, tv-bladen, tienerbladen, vrouwen- en mannenbladen, businessbladen, sport- en automagazines, lifestylebladen, hobbymagazines, food and travelmagazines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tijdschriften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audiovisuele massamedia: televisie en radio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belangrijke gebeurtenissen in de televisie-geschiedenis: kleurentelevisie, commerciële televisie, digitale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w:t>
            </w:r>
          </w:p>
          <w:p>
            <w:pPr>
              <w:pStyle w:val="ListParagraph"/>
              <w:numPr>
                <w:ilvl w:val="0"/>
                <w:numId w:val="11"/>
              </w:numPr>
            </w:pPr>
            <w:r>
              <w:rPr/>
              <w:t xml:space="preserve">openbare en commerciële televisiezenders</w:t>
            </w:r>
          </w:p>
          <w:p>
            <w:pPr>
              <w:pStyle w:val="ListParagraph"/>
              <w:numPr>
                <w:ilvl w:val="0"/>
                <w:numId w:val="11"/>
              </w:numPr>
            </w:pPr>
            <w:r>
              <w:rPr/>
              <w:t xml:space="preserve">nationale en regionale televisiezenders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televisiezenders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kijkcijfers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kijkcijfers en het marktaandeel van televisiezenders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2"/>
              </w:numPr>
            </w:pPr>
            <w:r>
              <w:rPr/>
              <w:t xml:space="preserve">openbare en commerciële zenders</w:t>
            </w:r>
          </w:p>
          <w:p>
            <w:pPr>
              <w:pStyle w:val="ListParagraph"/>
              <w:numPr>
                <w:ilvl w:val="0"/>
                <w:numId w:val="12"/>
              </w:numPr>
            </w:pPr>
            <w:r>
              <w:rPr/>
              <w:t xml:space="preserve">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luistercijfers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luistercijfers en het marktaandeel van radiozenders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omroep en zender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beheersovereenkomst van de VRT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digitale 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digitale communicatie zoals internet,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deze communicatie</w:t>
            </w:r>
          </w:p>
          <w:p>
            <w:pPr>
              <w:pStyle w:val="ListParagraph"/>
              <w:numPr>
                <w:ilvl w:val="0"/>
                <w:numId w:val="13"/>
              </w:numPr>
            </w:pPr>
            <w:r>
              <w:rPr/>
              <w:t xml:space="preserve">op het individueel vlak</w:t>
            </w:r>
          </w:p>
          <w:p>
            <w:pPr>
              <w:pStyle w:val="ListParagraph"/>
              <w:numPr>
                <w:ilvl w:val="0"/>
                <w:numId w:val="13"/>
              </w:numPr>
            </w:pPr>
            <w:r>
              <w:rPr/>
              <w:t xml:space="preserve">op het maatschappelijk vlak</w:t>
            </w:r>
          </w:p>
          <w:p>
            <w:pPr>
              <w:pStyle w:val="ListParagraph"/>
              <w:numPr>
                <w:ilvl w:val="0"/>
                <w:numId w:val="13"/>
              </w:numPr>
            </w:pPr>
            <w:r>
              <w:rPr/>
              <w:t xml:space="preserve">op het juridisch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illustreren,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pas je verschillende reclamemodellen toe. Je beschrijft en analyseert de eigenheid van reclametaal. Je onderzoekt en beoordeelt de ethische en juridische aspecten van reclame.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reclamemodellen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reclame in het communicatieproces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illustreren en toepassen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doelstellingen van reclame: merkbekendheid, merkgetrouwheid, attitudevorming, gedragsbeïnvloeding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AIDA-model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reclamemodel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reclametaal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 voor vorm- en stijlkenmerken: slogan, lay-out, typografie, kleur, taalgebruik, omkadering zoals muziek, kledij, meubels, figuranten en voorwerpen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presentatievormen van reclame: presentator, testimonial, teaser, stop motion, rotoscope, close-up, herhaling, productplacement, billboarding, countdown spot, reclamebanners, viral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reclame beschrijven, illustreren, toepassen en analyseren</w:t>
              <w:br/>
              <w:t xml:space="preserve"/>
              <w:br/>
              <w:t xml:space="preserve">verklaren hoe digitale communicatie voor nieuwe vormen van reclame zorgt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ethische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herkennen in voorbeelden</w:t>
              <w:br/>
              <w:t xml:space="preserve"/>
              <w:br/>
              <w:t xml:space="preserve">analyseren hoe waarden in boodschappen mee evolueren met de waarden van de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stereotypen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kritiek op reclame: maatschappelijk, sociaal-cultureel of zakelijk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benoemen, illustreren,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ethische verantwoording van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verantwoording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de juridische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beperkingen van de wet op de handelspraktijken: verbod op tabaksreclame, gedragscode voor kinderreclame, geen misleidende reclame, gedragscode voor reclame voor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Jury voor Ethische Praktijken inzake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Cultuur, waarden en normen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cultuur te beschrijven en culturen te vergelijken. Je zal waarden en normen moeten toepassen op voorbeelden en beschrijven hoe ze ontstaan en veranderen. Je zal aan de hand van voorbeelden ook moeten beschrijven hoe waarden en normen worden doorgegeven en hoe men soms voortbouwt op oudere waarden en normen. Je zal een eigen waardenhiërarchie moeten opstellen en verantwoorden waarom je voor die hiërarchie kiest.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cultuur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 in brede en in enge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en immateriële cultuurcomponenten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deze componenten beschrijven, illustreren en toepassen</w:t>
              <w:br/>
              <w:t xml:space="preserve"/>
              <w:br/>
              <w:t xml:space="preserve">culturen vergelijken op basis van deze componenten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waarden en normen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de tijd waarin ze ontstaan</w:t>
              <w:br/>
              <w:t xml:space="preserve"/>
              <w:br/>
              <w:t xml:space="preserve">verbanden leggen tussen waarden en de plaats waar ze ontstaan</w:t>
              <w:br/>
              <w:t xml:space="preserve"/>
              <w:br/>
              <w:t xml:space="preserve">waarden en normen in verschillende culturen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formele en informele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een eigen hiërarchie opstellen, verklaren en beoordelen</w:t>
              <w:br/>
              <w:t xml:space="preserve"/>
              <w:br/>
              <w:t xml:space="preserve">verbanden leggen tussen dit begrip en de tijd waarin ze ontstaan</w:t>
              <w:br/>
              <w:t xml:space="preserve"/>
              <w:br/>
              <w:t xml:space="preserve">verbanden leggen tussen dit begrip en de plaats waar ze ontstaan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en maatschappelijke 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hiërarchieën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intrapersoonlijk, interpersoonlijk en maatschappelijk waardenconflict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veranderingen in waarden en normen zoals bij de thema’s verkeersveiligheid, gezondheid, huwelijk, positie van het kind en van de vrouw, rechtspraak, onderwijs, subculturen, lichamelijkheid, slaap- en eetcultuur, voedingsgewoontes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beschrijven, illustreren, verklaren en toepassen</w:t>
              <w:br/>
              <w:t xml:space="preserve"/>
              <w:br/>
              <w:t xml:space="preserve">deze veranderingen toepassen op één cultuur</w:t>
              <w:br/>
              <w:t xml:space="preserve"/>
              <w:br/>
              <w:t xml:space="preserve">deze veranderingen vergelijken in verschillende culturen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cultuuroverdracht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socialisatie en acculturatie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socialisatieproces op macro- en microniveau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expliciete en impliciete vormen van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socialisatie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rituelen</w:t>
            </w:r>
          </w:p>
          <w:p>
            <w:pPr>
              <w:pStyle w:val="ListParagraph"/>
              <w:numPr>
                <w:ilvl w:val="0"/>
                <w:numId w:val="14"/>
              </w:numPr>
            </w:pPr>
            <w:r>
              <w:rPr/>
              <w:t xml:space="preserve">inwijdingsrituelen zoals de (vrouwen)besnijdenis, een studentendoop, de bar mitswa, de communie, de haka…</w:t>
            </w:r>
          </w:p>
          <w:p>
            <w:pPr>
              <w:pStyle w:val="ListParagraph"/>
              <w:numPr>
                <w:ilvl w:val="0"/>
                <w:numId w:val="14"/>
              </w:numPr>
            </w:pPr>
            <w:r>
              <w:rPr/>
              <w:t xml:space="preserve">huwelijksrituelen</w:t>
            </w:r>
          </w:p>
          <w:p>
            <w:pPr>
              <w:pStyle w:val="ListParagraph"/>
              <w:numPr>
                <w:ilvl w:val="0"/>
                <w:numId w:val="14"/>
              </w:numPr>
            </w:pPr>
            <w:r>
              <w:rPr/>
              <w:t xml:space="preserve">begrafenisrituelen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ritueel benoemen, illustreren en toepassen</w:t>
              <w:br/>
              <w:t xml:space="preserve">deze rituelen beschrijven, illustreren en toepassen</w:t>
              <w:br/>
              <w:t xml:space="preserve"/>
              <w:br/>
              <w:t xml:space="preserve">de verschillen in rituelen tussen culturen vergelijken</w:t>
              <w:br/>
              <w:t xml:space="preserve"/>
              <w:br/>
              <w:t xml:space="preserve">de verschillen in begrafenisrituelen in de tijd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woord en beeld</w:t>
              <w:br/>
              <w:t xml:space="preserve"/>
            </w:r>
          </w:p>
          <w:p>
            <w:pPr>
              <w:pStyle w:val="ListParagraph"/>
              <w:numPr>
                <w:ilvl w:val="0"/>
                <w:numId w:val="15"/>
              </w:numPr>
            </w:pPr>
            <w:r>
              <w:rPr/>
              <w:t xml:space="preserve">woordgebruik en spreekwoorden</w:t>
            </w:r>
          </w:p>
          <w:p>
            <w:pPr>
              <w:pStyle w:val="ListParagraph"/>
              <w:numPr>
                <w:ilvl w:val="0"/>
                <w:numId w:val="15"/>
              </w:numPr>
            </w:pPr>
            <w:r>
              <w:rPr/>
              <w:t xml:space="preserve">digitale communicatie: smileys, emoji’s en selfies</w:t>
            </w:r>
          </w:p>
          <w:p>
            <w:pPr>
              <w:pStyle w:val="ListParagraph"/>
              <w:numPr>
                <w:ilvl w:val="0"/>
                <w:numId w:val="15"/>
              </w:numPr>
            </w:pPr>
            <w:r>
              <w:rPr/>
              <w:t xml:space="preserve">sprookjes, fabels en verhalen</w:t>
            </w:r>
          </w:p>
          <w:p>
            <w:pPr>
              <w:pStyle w:val="ListParagraph"/>
              <w:numPr>
                <w:ilvl w:val="0"/>
                <w:numId w:val="15"/>
              </w:numPr>
            </w:pPr>
            <w:r>
              <w:rPr/>
              <w:t xml:space="preserve">mythologie</w:t>
            </w:r>
          </w:p>
          <w:p>
            <w:pPr>
              <w:pStyle w:val="ListParagraph"/>
              <w:numPr>
                <w:ilvl w:val="0"/>
                <w:numId w:val="15"/>
              </w:numPr>
            </w:pPr>
            <w:r>
              <w:rPr/>
              <w:t xml:space="preserve">politieke ideologie</w:t>
              <w:br/>
              <w:t xml:space="preserve"/>
            </w:r>
          </w:p>
          <w:p>
            <w:pPr>
              <w:pStyle w:val="ListParagraph"/>
              <w:numPr>
                <w:ilvl w:val="0"/>
                <w:numId w:val="15"/>
              </w:numPr>
            </w:pPr>
            <w:r>
              <w:rPr/>
              <w:t xml:space="preserve">middeleeuwse beeldtaal bijvoorbeeld Tapijt van Bayeux, timpanen, Jeroen Bosch,…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woordgebruik en spreekwoorden, via digitale communicatie, via sprookjes, fabels en verhalen, via mythologie, via politieke ideologie, via middeleeuwse beeldtaal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levensbeschouwing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jongerensubculturen bijvoorbeeld hippies, punk, gothic, hip hop, emo, gabber, hipster, yuccie, rappers, skaters, skinheads…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jongerensubculturen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Stereotypen en verwachtingspatronen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verwachtingspatroon, stereotype en rollenpatroon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gender</w:t>
            </w:r>
          </w:p>
          <w:p>
            <w:pPr>
              <w:pStyle w:val="ListParagraph"/>
              <w:numPr>
                <w:ilvl w:val="0"/>
                <w:numId w:val="16"/>
              </w:numPr>
            </w:pPr>
            <w:r>
              <w:rPr/>
              <w:t xml:space="preserve">de verwachtingen ten opzichte van gender uitgedrukt in cijfers</w:t>
            </w:r>
          </w:p>
          <w:p>
            <w:pPr>
              <w:pStyle w:val="ListParagraph"/>
              <w:numPr>
                <w:ilvl w:val="0"/>
                <w:numId w:val="16"/>
              </w:numPr>
            </w:pPr>
            <w:r>
              <w:rPr/>
              <w:t xml:space="preserve">de verschillende verwachtingen ten opzichte van gender in de tijd</w:t>
            </w:r>
          </w:p>
          <w:p>
            <w:pPr>
              <w:pStyle w:val="ListParagraph"/>
              <w:numPr>
                <w:ilvl w:val="0"/>
                <w:numId w:val="16"/>
              </w:numPr>
            </w:pPr>
            <w:r>
              <w:rPr/>
              <w:t xml:space="preserve">de verschillende verwachtingen ten opzichte van gender naargelang de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sekse en gender benoemen, illustreren en toepassen</w:t>
              <w:br/>
              <w:t xml:space="preserve"/>
              <w:br/>
              <w:t xml:space="preserve">deze verwachtingen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genderverschillen op meerdere domeinen: opleiding, arbeidsmarkt, politiek, vrijetijdsbesteding, gezinstaken, publiek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jongeren</w:t>
            </w:r>
          </w:p>
          <w:p>
            <w:pPr>
              <w:pStyle w:val="ListParagraph"/>
              <w:numPr>
                <w:ilvl w:val="0"/>
                <w:numId w:val="17"/>
              </w:numPr>
            </w:pPr>
            <w:r>
              <w:rPr/>
              <w:t xml:space="preserve">de verschillende verwachtingen ten opzichte van jongeren in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illustreren en vergelijken aan de hand van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verwachtingen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stereotypen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stereotypen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beschrijf je de maatschappelijke velden, en toon je aan dat ze veranderen en elkaar beïnvloeden. Je moet ook een beschrijving kunnen geven van de werking van het politieke veld. Soms gaat het over algemene zaken zoals organisatievormen, maar meestal wordt de situatie toegepast op België en Vlaanderen. Je zal verschillende begrippen en evoluties moeten beschrijven en toepassen op gegeven voorbeelden.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de maatschappelijke velden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maatschappelijke velden: politiek, juridisch, sociaal, economisch, cultureel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wisselwerking tussen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wisselwerking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verandering in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kenmerken en de werking van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en de werking van 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democratische rechtsstaat benoemen</w:t>
              <w:br/>
              <w:t xml:space="preserve"/>
              <w:br/>
              <w:t xml:space="preserve">de werking van de democratische rechtsstaat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vrije verkiezingen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deze bevoegdheden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sp.a,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br/>
              <w:t xml:space="preserve"/>
              <w:br/>
              <w:t xml:space="preserve">één standpunt per partij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gemeente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in de gemeente: burgemeester en schepencollege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in de gemeente: de gemeenteraad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jeugdraad in de besluitvorming van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juridische veld kunnen beschrijven: dat is alles wat te maken heeft met de rechtspraak. Eerst moet je een aantal algemene begrippen beschrijven, nadien pas je de begrippen toe op de Belgische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3.2.1 functies en soorten recht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recht</w:t>
            </w:r>
          </w:p>
          <w:p>
            <w:pPr>
              <w:pStyle w:val="ListParagraph"/>
              <w:numPr>
                <w:ilvl w:val="0"/>
                <w:numId w:val="18"/>
              </w:numPr>
            </w:pPr>
            <w:r>
              <w:rPr/>
              <w:t xml:space="preserve">het begrip recht</w:t>
            </w:r>
          </w:p>
          <w:p>
            <w:pPr>
              <w:pStyle w:val="ListParagraph"/>
              <w:numPr>
                <w:ilvl w:val="0"/>
                <w:numId w:val="18"/>
              </w:numPr>
            </w:pPr>
            <w:r>
              <w:rPr/>
              <w:t xml:space="preserve">functies van recht: de ordenende, instrumentele, de conflict oplossende, de normatieve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w:t>
              <w:br/>
              <w:t xml:space="preserve"/>
              <w:br/>
              <w:t xml:space="preserve">deze functies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recht in België</w:t>
            </w:r>
          </w:p>
          <w:p>
            <w:pPr>
              <w:pStyle w:val="ListParagraph"/>
              <w:numPr>
                <w:ilvl w:val="0"/>
                <w:numId w:val="19"/>
              </w:numPr>
            </w:pPr>
            <w:r>
              <w:rPr/>
              <w:t xml:space="preserve">het privaatrecht</w:t>
            </w:r>
          </w:p>
          <w:p>
            <w:pPr>
              <w:pStyle w:val="ListParagraph"/>
              <w:numPr>
                <w:ilvl w:val="0"/>
                <w:numId w:val="19"/>
              </w:numPr>
            </w:pPr>
            <w:r>
              <w:rPr/>
              <w:t xml:space="preserve">het publiekrecht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soorten recht benoemen</w:t>
              <w:br/>
              <w:t xml:space="preserve"/>
              <w:br/>
              <w:t xml:space="preserve">de rechtstakken uit deze soorten recht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3.2.2 de organisatie van de rechterlijke macht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kamer van koophandel,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en de werking van het vredegerecht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en deze werking beschrijven, illustreren en toepassen</w:t>
              <w:br/>
              <w:t xml:space="preserve"/>
              <w:br/>
              <w:t xml:space="preserve">deze werking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sociale veld kunnen beschrijven: je zal de verschillende soorten middenveld moeten beschrijven en toepassen op voorbeelden. Via de thema’s armoede en solidariteit beschrijf je de wisselwerking tussen het sociale en het politieke veld. Als je armoedecijfers moet analyseren, worden deze cijfers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het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middenveld</w:t>
              <w:br/>
              <w:t xml:space="preserve"/>
              <w:br/>
              <w:t xml:space="preserve">de begrippen verzuiling en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middenveld</w:t>
            </w:r>
          </w:p>
          <w:p>
            <w:pPr>
              <w:pStyle w:val="ListParagraph"/>
              <w:numPr>
                <w:ilvl w:val="0"/>
                <w:numId w:val="20"/>
              </w:numPr>
            </w:pPr>
            <w:r>
              <w:rPr/>
              <w:t xml:space="preserve">het sociaal-cultureel veld</w:t>
            </w:r>
          </w:p>
          <w:p>
            <w:pPr>
              <w:pStyle w:val="ListParagraph"/>
              <w:numPr>
                <w:ilvl w:val="0"/>
                <w:numId w:val="20"/>
              </w:numPr>
            </w:pPr>
            <w:r>
              <w:rPr/>
              <w:t xml:space="preserve">het sociaal-economisch veld</w:t>
            </w:r>
          </w:p>
          <w:p>
            <w:pPr>
              <w:pStyle w:val="ListParagraph"/>
              <w:numPr>
                <w:ilvl w:val="0"/>
                <w:numId w:val="20"/>
              </w:numPr>
            </w:pPr>
            <w:r>
              <w:rPr/>
              <w:t xml:space="preserve">het onderwijsveld</w:t>
            </w:r>
          </w:p>
          <w:p>
            <w:pPr>
              <w:pStyle w:val="ListParagraph"/>
              <w:numPr>
                <w:ilvl w:val="0"/>
                <w:numId w:val="20"/>
              </w:numPr>
            </w:pPr>
            <w:r>
              <w:rPr/>
              <w:t xml:space="preserve">het gezondheids- en welzijnsveld</w:t>
            </w:r>
          </w:p>
          <w:p>
            <w:pPr>
              <w:pStyle w:val="ListParagraph"/>
              <w:numPr>
                <w:ilvl w:val="0"/>
                <w:numId w:val="20"/>
              </w:numPr>
            </w:pPr>
            <w:r>
              <w:rPr/>
              <w:t xml:space="preserve">het levensbeschouwelijke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armoede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over armoede: generatiearmoede, nieuwe armoede, primaire behoeften, armoedegrens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kringloop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verklaringsmodellen voor armoede: individueel of maatschappelijk schuldmodel, individueel of maatschappelijk ongevalmodel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verklaringsmodellen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armoedecijfers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cijfers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pPr>
              <w:pStyle w:val="ListParagraph"/>
              <w:numPr>
                <w:ilvl w:val="0"/>
                <w:numId w:val="21"/>
              </w:numPr>
            </w:pPr>
            <w:r>
              <w:rPr/>
              <w:t xml:space="preserve">structurele armoedebestrijding door overheden of verenigingen</w:t>
            </w:r>
          </w:p>
          <w:p>
            <w:pPr>
              <w:pStyle w:val="ListParagraph"/>
              <w:numPr>
                <w:ilvl w:val="0"/>
                <w:numId w:val="21"/>
              </w:numPr>
            </w:pPr>
            <w:r>
              <w:rPr/>
              <w:t xml:space="preserve">caritatieve 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armoedebestrijding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kerntaken van het OCMW in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kerntaken beschrijven, illustreren, toepassen en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herverdelingsprincipe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solidariteitsprincipe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van de sociale zekerheid: remgeld, leefloon, vervangingsinkomen (pensioen, kinderbijslag, ziekte-uitkering,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solidariteit</w:t>
            </w:r>
          </w:p>
          <w:p>
            <w:pPr>
              <w:pStyle w:val="ListParagraph"/>
              <w:numPr>
                <w:ilvl w:val="0"/>
                <w:numId w:val="22"/>
              </w:numPr>
            </w:pPr>
            <w:r>
              <w:rPr/>
              <w:t xml:space="preserve">formele en informele solidariteit</w:t>
            </w:r>
          </w:p>
          <w:p>
            <w:pPr>
              <w:pStyle w:val="ListParagraph"/>
              <w:numPr>
                <w:ilvl w:val="0"/>
                <w:numId w:val="22"/>
              </w:numPr>
            </w:pPr>
            <w:r>
              <w:rPr/>
              <w:t xml:space="preserve">solidariteit op micro- en op macroniveau</w:t>
            </w:r>
          </w:p>
          <w:p>
            <w:pPr>
              <w:pStyle w:val="ListParagraph"/>
              <w:numPr>
                <w:ilvl w:val="0"/>
                <w:numId w:val="22"/>
              </w:numPr>
            </w:pPr>
            <w:r>
              <w:rPr/>
              <w:t xml:space="preserve">unilaterale en bilaterale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benoemen,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het JAC</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het Jongeren Advies Centrum (JAC)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economische veld kunnen beschrijven: je zal eerst een aantal economische begrippen moeten benoemen. Je zal cijfers over economische groei en koopkracht moeten analyseren. Deze cijfers worden steeds gegeven op het examen. Met het thema economische groei en economische systemen zal je de wisselwerking tussen het economische en het politieke veld moeten beschrijven.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3.4.1 basisbegrippen van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behoeften</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goederen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productiefactoren: grondstoffen,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3.4.2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bbp (per capita) of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cijfers over het bbp vergelijken,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koopkracht en productiviteit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cijfers over deze begrippen vergelijken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 het economisch beleid bepalend zijn voor economische groei: arbeid, kapitaal en 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w:t>
              <w:br/>
              <w:t xml:space="preserve"/>
              <w:br/>
              <w:t xml:space="preserve">de rol van deze factoren in het beleid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arbeid: activiteitsgraad en werkgelegenheidsgraad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cijfers over deze begrippen vergelijken en analyseren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3.4.3 economische systemen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centraal geleide economie of planeconomie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vrijemarkteconomie of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vrijemarkteconomie: vrije concurrentie, winststreven, individuele vrijheid, vraag en aanbod en privé-eigendom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toepassen</w:t>
              <w:br/>
              <w:t xml:space="preserve"/>
              <w:br/>
              <w:t xml:space="preserve">voor- en nadelen van deze kenmerken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gemengde economie of neokapitalisme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overheid: allocatiefunctie, herverdelingsfunctie en stabilisatiefunctie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Belgische overlegeconomie: sociaal overleg tussen vakbonden, werkgevers en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werking beschrijven</w:t>
              <w:br/>
              <w:t xml:space="preserve"/>
              <w:br/>
              <w:t xml:space="preserve">de drie partners van het sociaal overleg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cao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cao voluit schrijven</w:t>
              <w:br/>
              <w:t xml:space="preserve"/>
              <w:br/>
              <w:t xml:space="preserve">dit begrip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Levensbeschouwelijk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verschil tussen levensbeschouwing en religie kunnen beschrijven. Je zal de verschillende soorten levensbeschouwing moeten beschrijven en cijfers over de Belgische situatie analyseren. Deze cijfers worden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vergelijken</w:t>
              <w:br/>
              <w:t xml:space="preserve"/>
              <w:br/>
              <w:t xml:space="preserve">cijfers over levensbeschouwing en religie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monotheïstische godsdiensten: christendom, islam, jodendom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'monotheïsme’ benoemen</w:t>
              <w:br/>
              <w:t xml:space="preserve"/>
              <w:br/>
              <w:t xml:space="preserve">de drie monotheïstische godsdiensten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polytheïsme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'polytheïsme’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vrijzinnigen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definities van kunst op te stellen en te vergelijken aan de hand van criteria. Je zal recensies over kunstwerken moeten vergelijken. Je moet waarden in kunstwerken herkennen. Er kunnen verschillende kunstdisciplines aan bod komen op het examen:. De voorbeelden komen uit verschillende historische periodes. Bij elk kunstwerk vermelden we de kunstenaar (in de mate van het mogelijke) en de periode waarin het kunstwerk tot stand kwam. Muziekfragmenten moet je beluisteren. Als er een vraag is over recensies, dan krijg je die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Waarden in kunstwerken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in kunstwerken uit verschillende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warden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Definities van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definitie van kunst geven</w:t>
              <w:br/>
              <w:t xml:space="preserve"/>
              <w:br/>
              <w:t xml:space="preserve">definities van kunst vergelijken</w:t>
              <w:br/>
              <w:t xml:space="preserve"/>
              <w:br/>
              <w:t xml:space="preserve">verklaren waarom er geen eenduidige definitie van kunst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kunstdisciplines: architectuur, beeldhouwkunst, dans, etnische kunst, film, fotografie, installatiekunst, literatuur, muziek, performance, poëzie, propagandakunst, schilderkunst en 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disciplines illustreren met een concreet kunstwerk</w:t>
              <w:br/>
              <w:t xml:space="preserve"/>
              <w:br/>
              <w:t xml:space="preserve">recensies van kunstwerken uit deze disciplines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criteria van kunst: originaliteit, emotionele lading, vakmanschap, economische waarde, esthetische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analyseschema van kunst: beleven, bestuderen, begrijpen, waarderen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schema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Beeldvorming in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andere samenlevingen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samenlevingen in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samenlevingen uit het verleden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'communicatie' om cijfers over het medialandschap te bekijken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Artikels op jongerenmaat over de actualiteit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www.armoedecijfers.be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'Organisatie en wisselwerking', om cijfers over armoede te bekijken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