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Je wordt immers bijna dagelijks geconfronteerd met natuurwetenschappen. Denk bijvoorbeeld maar aan:</w:t>
      </w:r>
    </w:p>
    <w:p>
      <w:r>
        <w:rPr/>
        <w:t xml:space="preserve">&amp;raquo;       de voor- en nadelen van het gebruik van antibiotica,</w:t>
      </w:r>
    </w:p>
    <w:p>
      <w:r>
        <w:rPr/>
        <w:t xml:space="preserve">&amp;raquo;       het gebruik van pesticiden en de gevolgen voor het milieu,</w:t>
      </w:r>
    </w:p>
    <w:p>
      <w:r>
        <w:rPr/>
        <w:t xml:space="preserve">&amp;raquo;       het zoeken naar alternatieve energiebronnen...</w:t>
      </w:r>
    </w:p>
    <w:p>
      <w:r>
        <w:rPr/>
        <w:t xml:space="preserve">Deze voorbeelden tonen aan dat je wetenschappelijke kennis kan verwerven door te vertrekken van de wereld rondom jou en proefondervindelijk te werk te gaan. Als voorbereiding op het examen zal je daarom een onderzoeksopdracht moeten uitvoeren. Dit kan bijvoorbeeld een terreinwaarneming zijn waarbij je organismen moet verzamelen en/of bestuderen, een simpel experiment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r>
    </w:p>
    <w:p>
      <w:r>
        <w:rP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r>
    </w:p>
    <w:p>
      <w:r>
        <w:rPr/>
        <w:t xml:space="preserve">Natuurwetenschappelijke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dat het gebruik van onderhoudsproducten gevaren kunnen inhouden. Productetiketten interpreteren i s dan ook een onderdeel van het examen.</w:t>
      </w:r>
    </w:p>
    <w:p>
      <w:r>
        <w:rPr/>
        <w:t xml:space="preserve">Op het examen gaan we ook na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r>
    </w:p>
    <w:p>
      <w:r>
        <w:rP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SNELHEID en KRACHT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MATERIE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ENERGIE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In stand houden van het leven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ALGEMEEN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HET OOG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en de begrippen: wenkbrauw, ooglid, wimpers, traanklieren, traankanalen, pupil, iris, harde oogvlies, oogspieren, straallichaam, vaatvlies, netvlies, rechte spieren, schuine spieren, lensbandjes, voorste oogkamer, achterste oogkamer, staafjes en kegeltjes, gele vlek en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en microscopische structuren van het oog herkennen en benoemen op beeldmateriaal en deze ook beschrijven</w:t>
              <w:br/>
              <w:t xml:space="preserve"/>
              <w:br/>
              <w:t xml:space="preserve">de functies van de macroscopische en microscopische structuren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pupilreflex en lichtgevoeligheid verklaren op basis van filmpjes of afbeeldingen</w:t>
              <w:br/>
              <w:t xml:space="preserve"/>
              <w:br/>
              <w:t xml:space="preserve">verziendheid en bijziendheid herkennen en beschrijven in afbeeldingen van de beeldvorming in het oog[1]</w:t>
              <w:br/>
              <w:t xml:space="preserve"/>
              <w:br/>
              <w:t xml:space="preserve">het gebruik van contactlenzen en een bril om oogafwijkingen te corrigeren verklaren</w:t>
              <w:br/>
              <w:t xml:space="preserve"/>
              <w:br/>
              <w:t xml:space="preserve">het principe van positieve en negatieve nawerking beschrijven</w:t>
              <w:br/>
              <w:t xml:space="preserve"/>
              <w:br/>
              <w:t xml:space="preserve">het principe van dieptezicht (stereoscopische zicht) en optische illusies beschrijven</w:t>
              <w:br/>
              <w:t xml:space="preserve"> </w:t>
              <w:br/>
              <w:t xml:space="preserve">[1]het verklaren van verziendheid en bijziendheid met stralengangen: zie 'licht en straling'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OOR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 en microscopische bouw en de begrippen: oorschelp, gehoorgang, trommelvlies, gehoorbeentjes, buis van Eustachius, slakkenhuis, orgaan van Corti, halfcirkelvormige kanalen, uitwendig oor, middenoor, binnenoor, geluidsreceptoren (fonoreceptoren) 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structuren van het oor herkennen en benoemen op afbeeldingen en deze ook  beschrijven</w:t>
              <w:br/>
              <w:t xml:space="preserve"/>
              <w:br/>
              <w:t xml:space="preserve">het orgaan van Corti op microscopisch niveau beschrijven en de microscopische structuren herkennen en benoemen op afbeeldingen</w:t>
              <w:br/>
              <w:t xml:space="preserve"/>
              <w:br/>
              <w:t xml:space="preserve">het evenwichtsorgaan met evenwichtsreceptoren herkennen, benoemen en beschrijven</w:t>
              <w:br/>
              <w:t xml:space="preserve"/>
              <w:br/>
              <w:t xml:space="preserve">de functies van de macroscopische en microscopische structuren van het oor beschrijven, herkennen en benoemen</w:t>
              <w:br/>
              <w:t xml:space="preserve"/>
              <w:br/>
              <w:t xml:space="preserve">de functie van de evenwichtsorganen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op welke manier het statisch en dynamisch evenwicht in het oor geregistreerd wordt</w:t>
              <w:br/>
              <w:t xml:space="preserve"/>
              <w:br/>
              <w:t xml:space="preserve">de weg die het geluid aflegt in het oor beschrijven en verklaren welke functies de verschillende structuren hierin vervullen, hoe het geluidsgolven versterkt worden en hoe geluidsgolven omgezet worden naar zenuwimpulsen</w:t>
              <w:br/>
              <w:t xml:space="preserve"/>
              <w:br/>
              <w:t xml:space="preserve">aan de hand van voorbeelden beschrijven dat horen een proces is dat in de hersenen gebeurt: selectief horen, cocktailparty-effect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1.1.4	ZINTUIGLIJKE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doofheid, gehoorschade, tinnitus, zeekziekte,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zintuiglijke stoornissen verklaren en illustreren hoe deze vermeden kunnen worden</w:t>
              <w:br/>
              <w:t xml:space="preserve"/>
              <w:br/>
              <w:t xml:space="preserve">de werking van een bionisch oor (cochleair implantaat) en het bionisch oog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1.1.5	SPIEREN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met de begrippen: spierschede, pezen, spierbundel, spiervezel, spierfibrillen, sarcomeer, actine en myosine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dwarsgestreepte en gladde spieren beschrijven</w:t>
              <w:br/>
              <w:t xml:space="preserve"/>
              <w:br/>
              <w:t xml:space="preserve">de macroscopsiche en microscopische structuren herkennen en benoemen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en benoemen</w:t>
              <w:br/>
              <w:t xml:space="preserve"/>
              <w:br/>
              <w:t xml:space="preserve">de bouw van verschillende soorten spieren vergelijken</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beschrijven aan de hand van afbeeldingen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1.1.6	HET SKELET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beenderen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verschillende delen van een gewricht herkennen, benoemen en beschrijven</w:t>
              <w:br/>
              <w:t xml:space="preserve"/>
              <w:br/>
              <w:t xml:space="preserve">voorbeelden geven van de verschillende soorten gewrichten in het menselijk lichaam</w:t>
              <w:br/>
              <w:t xml:space="preserve"/>
              <w:br/>
              <w:t xml:space="preserve">de bewegingsmogelijkheden van de verschillende soorten gewrichten interpreteren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1.1.7	HET HORMONAAL 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endocriene klieren beschrijven</w:t>
              <w:br/>
              <w:t xml:space="preserve"/>
              <w:br/>
              <w:t xml:space="preserve">de macroscopische en microscopische verschillen tussen endocriene en exocriene klieren herkennen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hormonale klieren van de gegeven hormonen situeren in het menselijk lichaam</w:t>
              <w:br/>
              <w:t xml:space="preserve"/>
              <w:br/>
              <w:t xml:space="preserve">de functie van endocriene klieren beschrijven</w:t>
              <w:br/>
              <w:t xml:space="preserve"/>
              <w:br/>
              <w:t xml:space="preserve">het effect of de functie van deze hormonen in het menselijk lichaam beschrijven</w:t>
              <w:br/>
              <w:t xml:space="preserve"/>
              <w:br/>
              <w:t xml:space="preserve">de begrippen excretie, secretie en hormonen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1.1.8	HET ZENUWSTELSEL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centrale zenuwstelsel en het perifere zenuwstelsel, het autonoom en animaal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het centrale zenuwstelsel en het perifere zenuwstelsel herkennen en benoemen</w:t>
              <w:br/>
              <w:t xml:space="preserve"/>
              <w:br/>
              <w:t xml:space="preserve">de verschillende delen van het centrale zenuwstelsel en perifere zenuwstelsel opsommen</w:t>
              <w:br/>
              <w:t xml:space="preserve"/>
              <w:br/>
              <w:t xml:space="preserve">het verschil tussen autonoom en animaal zenuwstelsel beschrijven</w:t>
              <w:br/>
              <w:t xml:space="preserve"/>
              <w:br/>
              <w:t xml:space="preserve">in gegeven voorbeelden reacties van  het autonoom en animaal zenuwstelsel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hersenen en de begrippen: </w:t>
              <w:br/>
              <w:t xml:space="preserve">grote hersenen met hersenschors (cortex) – thalamus – hypothalamus - hersenbalk, kleine hersenen, hersenstam, primaire en secundaire centra, sensorische en motorische centra, spraak- gezichts- en gehoorcentrum, het limbisch systeem</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structuren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hersenen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hersenstructuren en –delen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van een dwarsdoorsnede van het ruggenmerg de delen met in- en uittredende zenuwen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zenuwcellen en de begrippen: </w:t>
              <w:br/>
              <w:t xml:space="preserve">dendrieten, cellichaam, axon, myelineschede, cellen van Schwann, gliacellen, knopen van Ranvier,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delen van een zenuwcel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zenuwcellen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zenuwcellen en de begrippen neurotransmitter, synaps, actiepotentiaal, elektrische prikkel, chemische prikkel, reflex en gewilde 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impulsoverdracht aanduiden en herkennen op afbeeldingen</w:t>
              <w:br/>
              <w:t xml:space="preserve"/>
              <w:br/>
              <w:t xml:space="preserve">de signaaloverdracht tussen zenuwcellen verklaren aan de hand van een figuur</w:t>
              <w:br/>
              <w:t xml:space="preserve"/>
              <w:br/>
              <w:t xml:space="preserve">het principe van de reflexboog beschrijven</w:t>
              <w:br/>
              <w:t xml:space="preserve"/>
              <w:br/>
              <w:t xml:space="preserve">de gevolgde weg van een zenuwimpuls bij een ongewilde (reflex) en gewilde beweging herkennen, aanduiden en beschrijven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1.1.9	NEURALE EN HORMONALE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neurale en hormonale stoornissen verklaren en illustreren hoe deze eventueel vermeden of opgelost kunnen worden:</w:t>
              <w:br/>
              <w:t xml:space="preserve"/>
              <w:br/>
              <w:t xml:space="preserve">het verband leggen tussen hersenletsels en de functie van de verschillende hersendelen – en structuren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1.1.10	COÖRDINATIE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homeostatische functie van de pancreas, 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homeostatische functie van de pancreas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verklaren en schematisch voorstellen aan de hand van de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TERREINSTUDIE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en 'interacties tussen organismen en omgeving'.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geven waarop deze indeling gebaseerd is</w:t>
              <w:br/>
              <w:t xml:space="preserve"/>
              <w:br/>
              <w:t xml:space="preserve">organismen indelen in het vijfrijkensysteem aan de hand van afbeeldingen</w:t>
              <w:br/>
              <w:t xml:space="preserve"/>
              <w:br/>
              <w:t xml:space="preserve">aan de hand van afbeeldingen volgende organismen onderscheiden van mekaar en het onderscheid verwoorden: ééncelligen en meercelligen, prokaryoten en eukaryoten, autotroof en heterotroof</w:t>
              <w:br/>
              <w:t xml:space="preserve"/>
              <w:br/>
              <w:t xml:space="preserve">de binominale naamgeving herkennen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groepen van micro-organismen herkennen aan de hand van microscopische afbeeldingen</w:t>
              <w:br/>
              <w:t xml:space="preserve"/>
              <w:br/>
              <w:t xml:space="preserve">de systematische plaats van virussen in dit classificatiesysteem verklaren</w:t>
              <w:br/>
              <w:t xml:space="preserve"/>
              <w:br/>
              <w:t xml:space="preserve">de bouw en de voortplanting van virussen en bacteriën beschrijven en herkennen in afbeeldingen</w:t>
              <w:br/>
              <w:t xml:space="preserve"/>
              <w:br/>
              <w:t xml:space="preserve">kenmerken beschrijven waardoor zwammen en bacteriën zich onderscheiden van planten en dieren</w:t>
              <w:br/>
              <w:t xml:space="preserve"/>
              <w:br/>
              <w:t xml:space="preserve">voorbeelden geven en herkennen van het belang van micro-organismen in de natuur</w:t>
              <w:br/>
              <w:t xml:space="preserve"/>
              <w:br/>
              <w:t xml:space="preserve">voorbeelden geven en herkennen van de invloed van bacteriën, virussen, schimmels, gisten en parasieten op de menselijke gezondheid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w:t>
              <w:br/>
              <w:t xml:space="preserve"/>
              <w:b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 gegeven stammen aan de hand van afbeeldingen</w:t>
              <w:br/>
              <w:t xml:space="preserve"/>
              <w:br/>
              <w:t xml:space="preserve">chordadieren classificeren in klassen aan de hand van afbeeldingen</w:t>
              <w:br/>
              <w:t xml:space="preserve"/>
              <w:br/>
              <w:t xml:space="preserve">stammen van ongewervelden en klassen van chordadieren classificeren in lagere taxonomische niveaus aan de hand van dichotomische tabellen.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Interacties tussen organismen en omgeving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ECOSYSTEEM</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biotische factoren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je waarnemingen en gegevens uit de terreinstudie om te verklaren:</w:t>
            </w:r>
          </w:p>
          <w:p>
            <w:pPr>
              <w:pStyle w:val="ListParagraph"/>
              <w:numPr>
                <w:ilvl w:val="0"/>
                <w:numId w:val="8"/>
              </w:numPr>
            </w:pPr>
            <w:r>
              <w:rPr/>
              <w:t xml:space="preserve">hoe de dynamiek van een ecosysteem evolueert van primair naar climax</w:t>
            </w:r>
          </w:p>
          <w:p>
            <w:pPr>
              <w:pStyle w:val="ListParagraph"/>
              <w:numPr>
                <w:ilvl w:val="0"/>
                <w:numId w:val="8"/>
              </w:numPr>
            </w:pPr>
            <w:r>
              <w:rPr/>
              <w:t xml:space="preserve">welke factoren de dynamiek van een ecosysteem beïnvloeden</w:t>
            </w:r>
          </w:p>
          <w:p>
            <w:pPr>
              <w:pStyle w:val="ListParagraph"/>
              <w:numPr>
                <w:ilvl w:val="0"/>
                <w:numId w:val="8"/>
              </w:numPr>
            </w:pPr>
            <w:r>
              <w:rPr/>
              <w:t xml:space="preserve">welk verband bestaat tussen de aanwezige abiotische factoren en de organismen die er voorkomen</w:t>
            </w:r>
          </w:p>
          <w:p>
            <w:pPr>
              <w:pStyle w:val="ListParagraph"/>
              <w:numPr>
                <w:ilvl w:val="0"/>
                <w:numId w:val="8"/>
              </w:numPr>
            </w:pPr>
            <w:r>
              <w:rPr/>
              <w:t xml:space="preserve">op welke manier organismen het milieu beïnvloeden</w:t>
            </w:r>
          </w:p>
          <w:p>
            <w:pPr>
              <w:pStyle w:val="ListParagraph"/>
              <w:numPr>
                <w:ilvl w:val="0"/>
                <w:numId w:val="8"/>
              </w:numPr>
            </w:pPr>
            <w:r>
              <w:rPr/>
              <w:t xml:space="preserve">op welke manier het milieu invloed uitoefent op de organismen</w:t>
            </w:r>
          </w:p>
          <w:p>
            <w:pPr>
              <w:pStyle w:val="ListParagraph"/>
              <w:numPr>
                <w:ilvl w:val="0"/>
                <w:numId w:val="8"/>
              </w:numPr>
            </w:pPr>
            <w:r>
              <w:rPr/>
              <w:t xml:space="preserve">hoe organismen zich aanpassen aan hun omgeving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INTERACTIES TUSSEN ORGANISMEN VAN DEZELFDE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in gegeven voorbeelden</w:t>
              <w:br/>
              <w:t xml:space="preserve"/>
              <w:br/>
              <w:t xml:space="preserve">verschillende soorten groepsvormingen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communicatie binnen een groep verklaren aan de hand van voorbeelden</w:t>
              <w:br/>
              <w:t xml:space="preserve"/>
              <w:b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 gedrag: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aangeboren en aangeleerd gedrag onderscheiden in voorbeelden</w:t>
              <w:br/>
              <w:t xml:space="preserve"/>
              <w:b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INTERACTIES TUSSEN ORGANISMEN VAN VERSCHILLENDE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predatie, concurrentie, parasitisme, mutualisme, coöperatie, predatie en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interacties tussen organismen herkennen en benoemen in gegeven ecosystemen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producenten, consumenten en reducenten beschrijven</w:t>
              <w:br/>
              <w:t xml:space="preserve"/>
              <w:br/>
              <w:t xml:space="preserve">de relatie tussen producenten, consumenten en reducenten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koolstofkringlopen en stikstofkringlopen beschrijven aan de hand van gegeven afbeeldingen</w:t>
              <w:br/>
              <w:t xml:space="preserve"/>
              <w:br/>
              <w:t xml:space="preserve">energiepiramides en biomassapiramides interpreteren</w:t>
              <w:br/>
              <w:t xml:space="preserve"/>
              <w:br/>
              <w:t xml:space="preserve">voedselketens en voedselwebben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BIODIVERSITEIT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de mens de biodiversiteit van een ecosysteem kan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Deeltjesmodel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NAMEN EN SYMBOLEN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HET ATOOMMODEL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 de relatieve massa en lading van protonen, neutronen en 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beschrijven en in chronologische volgorde plaatsen</w:t>
              <w:br/>
              <w:t xml:space="preserve"/>
              <w:br/>
              <w:t xml:space="preserve">protonen, neutronen en elektronen situeren in het atoommodel van Bohr</w:t>
              <w:br/>
              <w:t xml:space="preserve"/>
              <w:br/>
              <w:t xml:space="preserve">de relatieve massa en lading van protonen, neutronen en elektronen definiëren en de getalwaarden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 symbolisch voorstellen met atoomnummer en nucleonengetal</w:t>
              <w:br/>
              <w:t xml:space="preserve"/>
              <w:br/>
              <w:t xml:space="preserve">het aantal protonen, neutronen en elektronen afleiden uit het nucleonengetal en het atoomnummer</w:t>
              <w:br/>
              <w:t xml:space="preserve"/>
              <w:br/>
              <w:t xml:space="preserve">op basis van het atoomnummer de elektronenconfiguratie volgens het atoommodel van Bohr (voor elementen met Z ≤ 18 )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HET PERIODIEK SYSTEEM DER ELEMENTEN (PSE)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Z ≤ 18 de elementen op basis van de elektronenconfiguratie een plaats geven in het PSE volgens de indeling: periode, groep, groepsnaam, metalen, niet-metalen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elementen uit de hoofdgroepen het aantal elektronen op de buitenste hoofschil afleiden met behulp van het PSE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ATOOMMASSA, MOLECUULMASSA, MOLAIRE MASSA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atoommassa, molecuulmassa, molaire massa, het getal van Avogadro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relatieve atoom- en molecuulmassa en de molaire massa afleiden of berekenen uit het PSE</w:t>
              <w:br/>
              <w:t xml:space="preserve"/>
              <w:br/>
              <w:t xml:space="preserve">de begrippen relatieve atoom- en molecuulmassa beschrijven</w:t>
              <w:br/>
              <w:t xml:space="preserve"/>
              <w:br/>
              <w:t xml:space="preserve">omrekeningen maken tussen het aantal deeltjes en stofhoeveelheden (massa en mol)</w:t>
              <w:br/>
              <w:t xml:space="preserve"/>
              <w:br/>
              <w:t xml:space="preserve">het getal van Avogadro definiëren en de getalwaarde schrijven</w:t>
              <w:br/>
              <w:t xml:space="preserve"/>
              <w:br/>
              <w:t xml:space="preserve">omrekeningen maken tussen massa en stofhoeveelheden in mol</w:t>
              <w:br/>
              <w:t xml:space="preserve"/>
              <w:br/>
              <w:t xml:space="preserve">de juiste symbolen, SI-eenheden en terminologie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MENGSELS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zuivere stoffen en mengsels maken op basis van stofeigenschappen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filtrateren,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gegeven scheidingstechnieken herkennen in toepassingen</w:t>
              <w:br/>
              <w:t xml:space="preserve"/>
              <w:br/>
              <w:t xml:space="preserve">een geschikte scheidingstechniek voorstellen voor een gegeven mengsel om een zuivere stof uit het mengsel te isoleren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ZUIVERE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of deeltjesmodel</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2.2.3	ENKELVOUDIGE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H2 N2 O2 F2 Cl2 Br2 I2, O3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metaal, niet-metaal en edelgassen classificeren aan de hand van een chemische formule </w:t>
              <w:br/>
              <w:t xml:space="preserve"/>
              <w:br/>
              <w:t xml:space="preserve">de naam en de symbolische voorstelling van de belangrijkste enkelvoudige stoffen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2.2.4	SAMENGESTELDE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of structuurformule</w:t>
              <w:br/>
              <w:t xml:space="preserve"/>
              <w:br/>
              <w:t xml:space="preserve">chemische formules van zuren, zouten, basen en oxiden vormen met behulp van het PSE en een tabel met oxidatiegetallen (zie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en toepassingen van n-alkanen in het dagelijkse leven beschrijven</w:t>
              <w:br/>
              <w:t xml:space="preserve"/>
              <w:br/>
              <w:t xml:space="preserve">de gevolgen van een volledige en onvolledige verbranding van alkanen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n-alkanen,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formules en IUPAC-namen van zuren, zouten, basen, oxiden en de eerste 10n-alkanen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zoutzuur, zwavelzuur, bijtende soda, gewone soda, gebluste kalk, ongebluste kalk, kalkwater, koolzuuur, salpeterzuur, fosforzuur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triviale namen hanteren in antwoorden, herkennen in teksten en vraagstellingen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2.2.5	DE CHEMISCHE BINDING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gegeven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verbinding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br/>
              <w:t xml:space="preserve"/>
              <w:br/>
              <w:t xml:space="preserve">het geleidingsvermogen van stoffen verklaren door een verband te leggen met het bindingstype in het molecule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2.2.6	ROOSTERTYPES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roostertypes in verband brengen met hun chemische binding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2.2.7	VEILIGHEID EN DUURZAAMHEID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op basis van H/P aantonen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 volgende vragen kunnen je helpen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REACTIEVERGELIJKINGEN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chemische reacties voorstellen met behulp van het deeltjesmodel</w:t>
              <w:br/>
              <w:t xml:space="preserve"/>
              <w:br/>
              <w:t xml:space="preserve">het principe van een chemische reactie verklaren</w:t>
              <w:br/>
              <w:t xml:space="preserve"/>
              <w:br/>
              <w:t xml:space="preserve">deze begrippen definiëren</w:t>
              <w:br/>
              <w:t xml:space="preserve"/>
              <w:br/>
              <w:t xml:space="preserve">de wet van behoud van atomen en de wet van Lavoisier beschrijven en in verband brengen met bijvoorbeeld de afvalproblematiek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REACTIEPATRONEN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metalen/ niet-metalen  + dizuurstof</w:t>
              <w:br/>
              <w:t xml:space="preserve"/>
              <w:br/>
              <w:t xml:space="preserve">metaaloxiden/niet-metaaloxiden  +  water</w:t>
              <w:br/>
              <w:t xml:space="preserve"/>
              <w:br/>
              <w:t xml:space="preserve">zuren  +  basen</w:t>
              <w:br/>
              <w:t xml:space="preserve"/>
              <w:br/>
              <w:t xml:space="preserve">ionisatie- en dissociatiereacties</w:t>
              <w:br/>
              <w:t xml:space="preserve"/>
              <w:br/>
              <w:t xml:space="preserve">volledige en onvolledige verbranding van alkanen</w:t>
              <w:br/>
              <w:t xml:space="preserve"/>
              <w:br/>
              <w:t xml:space="preserve">oxidatie- en reductiereacties</w:t>
              <w:br/>
              <w:t xml:space="preserve"/>
              <w:br/>
              <w:t xml:space="preserve">eenvoudige essentiële ionenreacties ende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reactiepatronen in eenvoudige reacties met de juiste chemische formules herkennen, schrijven en/of vervolledigen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REACTIESOORTEN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in waarnemingen of beeldfragmenten classificeren met behulp van de oplosbaarheidstabel die je vindt als  bijlage</w:t>
              <w:br/>
              <w:t xml:space="preserve"/>
              <w:br/>
              <w:t xml:space="preserve">het energiediagram van een exo- en endo-energetische reactie interpreteren 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in eenvoudige redoxreacties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2.3.4	OPLOSPROCES VAN STOFFEN IN WATER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polaire en apolaire stoffen onderscheiden op basis van het verschil in elektronegatieve waarde</w:t>
              <w:br/>
              <w:t xml:space="preserve"/>
              <w:br/>
              <w:t xml:space="preserve">aan de hand van de polariteit van stoffen verklaren of deze al dan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w:t>
              <w:br/>
              <w:t xml:space="preserve"/>
              <w:br/>
              <w:t xml:space="preserve">stoffen indelen in elektrolyten en niet-elektrolyten op basis van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Let op: je moet 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SNELHEID en KRACHT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snelheid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snelheid als vector herkennen en benoemen in concrete voorbeelden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snelheid in functie van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br/>
              <w:t xml:space="preserve"/>
              <w:br/>
              <w:t xml:space="preserve">een x(t)- en v(t)-grafiek maken en interpreteren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krachtwerking door contact en krachtwerking op afstand onderscheiden en met concrete voorbeelden illustreren</w:t>
              <w:br/>
              <w:t xml:space="preserve"/>
              <w:br/>
              <w:t xml:space="preserve">de kenmerken van kracht als vector herkennen en benoemen in concrete voorbeelden</w:t>
              <w:br/>
              <w:t xml:space="preserve"/>
              <w:br/>
              <w:t xml:space="preserve">een kracht voorstellen als een vector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samenstellen van krachten volgens dezelfde 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resulterende kracht bepalen en berekenen</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op de massa van een voorwerp berekenen</w:t>
              <w:br/>
              <w:t xml:space="preserve"/>
              <w:br/>
              <w:t xml:space="preserve">het verschil tussen massa en gewicht aangeven</w:t>
              <w:br/>
              <w:t xml:space="preserve"/>
              <w:br/>
              <w:t xml:space="preserve">de zwaarteveldsterkte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veerkracht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veerconstante van een veer bepalen</w:t>
              <w:br/>
              <w:t xml:space="preserve"/>
              <w:br/>
              <w:t xml:space="preserve">het verband tussen een  vervorming en de uitgeoefende kracht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MATERIE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massadichtheid beschrijven</w:t>
              <w:br/>
              <w:t xml:space="preserve"/>
              <w:br/>
              <w:t xml:space="preserve">de massadichtheid van een vaste stof, vloeistof of gas berekenen</w:t>
              <w:br/>
              <w:t xml:space="preserve"/>
              <w:br/>
              <w:t xml:space="preserve">de bepaling van de massadichtheid van een vaste stof, vloeistof of gas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 de eenheden van druk</w:t>
              <w:br/>
              <w:t xml:space="preserve"/>
              <w:br/>
              <w:t xml:space="preserve">de hydrostatische druk</w:t>
              <w:br/>
              <w:t xml:space="preserve"/>
              <w:br/>
              <w:t xml:space="preserve">het beginsel van Pascal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definiëren door de kracht en de oppervlakte te gebruiken</w:t>
              <w:br/>
              <w:t xml:space="preserve"/>
              <w:br/>
              <w:t xml:space="preserve">de grootte van de druk berekenen</w:t>
              <w:br/>
              <w:t xml:space="preserve"/>
              <w:br/>
              <w:t xml:space="preserve">de juiste eenheden voor druk gebruiken en omzetten naar elkaar: Pa, hPa, bar, mbar</w:t>
              <w:br/>
              <w:t xml:space="preserve"/>
              <w:br/>
              <w:t xml:space="preserve">de factoren die de druk in een vloeistof bepalen opsommen</w:t>
              <w:br/>
              <w:t xml:space="preserve"/>
              <w:br/>
              <w:t xml:space="preserve">de grootte van de vloeistofdruk berekenen</w:t>
              <w:br/>
              <w:t xml:space="preserve"/>
              <w:br/>
              <w:t xml:space="preserve">de voortplanting van druk op een vloeistof aan de hand van gegeven voorbeelden zoals het remsysteem van een auto, hydraulische persen, een watertoren, een peilglas, een sifon verklaren</w:t>
              <w:br/>
              <w:t xml:space="preserve"/>
              <w:br/>
              <w:t xml:space="preserve">de voortplanting van druk op een vloeistof toepassen bij een systeem van verbonden vaten en bij het berekenen van de totale druk in een vat gevuld met een vloeistof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een 'ideaal gas' en een reëel gas opsommen</w:t>
              <w:br/>
              <w:t xml:space="preserve"/>
              <w:br/>
              <w:t xml:space="preserve">toestandsfactoren van een ideaal gas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toestandsgrootheden druk, volume en temperatuur van een bepaalde hoeveelheid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bepaalde hoeveelheid gas het wiskundig verband tussen temperatuur, druk en volume toepassen in een eenvoudige berekening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absoluut nulpunt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situatie verklaren aan de hand van de kinetische opvatting van het begrip temperatuur</w:t>
              <w:br/>
              <w:t xml:space="preserve"/>
              <w:br/>
              <w:t xml:space="preserve">de betekenis van absolute temperatuur beschrijven</w:t>
              <w:br/>
              <w:t xml:space="preserve"/>
              <w:br/>
              <w:t xml:space="preserve">de absolute temperatuur omzetten naar 'Celsius-temperatuur'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ENERGIE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Warmte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materie en inwendige, potentiële en kinetisch,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inwendige energie beschrijven aan de hand van het deeltjesmodel</w:t>
              <w:br/>
              <w:t xml:space="preserve"/>
              <w:br/>
              <w:t xml:space="preserve">het verschil verklaren tussen warmtehoeveelheid en temperatuurwijziging</w:t>
              <w:br/>
              <w:t xml:space="preserve"/>
              <w:br/>
              <w:t xml:space="preserve">de warmtehoeveelheid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specifieke warmtecapaciteit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warmtecapaciteit en soortelijke warmtecapaciteit definiëren</w:t>
              <w:br/>
              <w:t xml:space="preserve"/>
              <w:br/>
              <w:t xml:space="preserve">het ontstaan van het thermisch evenwicht in een geïsoleerd systeem toelichten aan de hand van het deeltjesmodel</w:t>
              <w:br/>
              <w:t xml:space="preserve"/>
              <w:br/>
              <w:t xml:space="preserve">de specifieke warmtecapaciteit bepalen en berekenen aan de hand van de energie-uitwisseling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latente en merkbare warmte uitleggen</w:t>
              <w:br/>
              <w:t xml:space="preserve"/>
              <w:br/>
              <w:t xml:space="preserve">wijziging van inwendige kinetische of inwendige potentiële energie 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latente en merkbare warmte uitleggen</w:t>
              <w:br/>
              <w:t xml:space="preserve"/>
              <w:br/>
              <w:t xml:space="preserve">wijziging van inwendige kinetische of inwendige potentiële energie onderscheiden</w:t>
              <w:br/>
              <w:t xml:space="preserve"/>
              <w:br/>
              <w:t xml:space="preserve">het smelten en stollen van een stof verklaren aan de hand van het deeltjesmodel</w:t>
              <w:br/>
              <w:t xml:space="preserve"/>
              <w:br/>
              <w:t xml:space="preserve">het verdampen en condenseren van een stof verklaren aan de hand van het deeltjesmodel</w:t>
              <w:br/>
              <w:t xml:space="preserve"/>
              <w:br/>
              <w:t xml:space="preserve">het sublimeren van een stof verklaren aan de hand van het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warmte-uitwisseling tijdens faseovergangen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temperatuurwijziging in functie van toegevoerde of afgevoerde energie kunnen aflezen en interpreteren;</w:t>
              <w:br/>
              <w:t xml:space="preserve"/>
              <w:br/>
              <w:t xml:space="preserve">de smeltcurve of stolcurve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Energieomzettingen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 definiëren en gebruiken</w:t>
              <w:br/>
              <w:t xml:space="preserve"/>
              <w:br/>
              <w:t xml:space="preserve">de arbeid berekenen voor een constante kracht, evenwijdig met de verplaatsing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definiëren  en gebruiken</w:t>
              <w:br/>
              <w:t xml:space="preserve"/>
              <w:br/>
              <w:t xml:space="preserve">het vermogen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gravitatiepotentiële energie bij het aardoppervlak, de elastische potentiële energie en de kinetische energie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potentiële energie in het zwaarteveld (of 'zwaarte-energie') afleiden</w:t>
              <w:br/>
              <w:t xml:space="preserve"/>
              <w:br/>
              <w:t xml:space="preserve">de volgende formules gebruiken in een berekening:</w:t>
              <w:br/>
              <w:t xml:space="preserve"/>
              <w:br/>
              <w:t xml:space="preserve"/>
            </w:r>
          </w:p>
          <w:p>
            <w:pPr>
              <w:pStyle w:val="ListParagraph"/>
              <w:numPr>
                <w:ilvl w:val="0"/>
                <w:numId w:val="9"/>
              </w:numPr>
            </w:pPr>
            <w:r>
              <w:rPr/>
              <w:t xml:space="preserve">de formule voor potentiële energie in het zwaarteveld</w:t>
            </w:r>
          </w:p>
          <w:p>
            <w:pPr>
              <w:pStyle w:val="ListParagraph"/>
              <w:numPr>
                <w:ilvl w:val="0"/>
                <w:numId w:val="9"/>
              </w:numPr>
            </w:pPr>
            <w:r>
              <w:rPr/>
              <w:t xml:space="preserve">de formule voor kinetische energie</w:t>
            </w:r>
          </w:p>
          <w:p>
            <w:pPr>
              <w:pStyle w:val="ListParagraph"/>
              <w:numPr>
                <w:ilvl w:val="0"/>
                <w:numId w:val="9"/>
              </w:numPr>
            </w:pPr>
            <w:r>
              <w:rPr/>
              <w:t xml:space="preserve">de formule voor elastische potentiële energie</w:t>
            </w:r>
          </w:p>
          <w:p>
            <w:r>
              <w:rPr/>
              <w:t xml:space="preserve"/>
              <w:br/>
              <w:t xml:space="preserve"/>
              <w:br/>
              <w:t xml:space="preserve"/>
              <w:br/>
              <w:t xml:space="preserve">mechanische energie en andere vormen van energie zoals elektrische energie,chemische energie of kernenergie herkennen in concrete situaties uit het dagelijkse leven; bijvoorbeeld bij een waterkrachtcentrale, elektrische apparaten of benjispringen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 en energieverliezen bij energieomzettingen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definiëren 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Licht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in een homogene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lichtbron, lichtstraal en rechtlijnige voortplanting beschrijven</w:t>
              <w:br/>
              <w:t xml:space="preserve"/>
              <w:br/>
              <w:t xml:space="preserve">evenwijdige, convergerende en divergerende lichtbundels benoemen en tekenen</w:t>
              <w:br/>
              <w:t xml:space="preserve"/>
              <w:br/>
              <w:t xml:space="preserve">de kern- en bijschaduw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een vlakke spiegel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invallende straal, invalspunt, normaal, invalshoek, weerkaatste straal aanduiden op een tekening</w:t>
              <w:br/>
              <w:t xml:space="preserve"/>
              <w:br/>
              <w:t xml:space="preserve">de terugkaatsingwetten uitleggen en de stralengang tekenen</w:t>
              <w:br/>
              <w:t xml:space="preserve"/>
              <w:br/>
              <w:t xml:space="preserve">het beeld bij een vlakke spiegel tekenen en de eigenschappen van het beeld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bij breking van de ene middenstof naar de andere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grensvlak, de gebroken straal en de brekingshoek aanduiden op een tekening</w:t>
              <w:br/>
              <w:t xml:space="preserve"/>
              <w:br/>
              <w:t xml:space="preserve">het brekingsverschijnsel uitleggen en de stralengang tekenen</w:t>
              <w:br/>
              <w:t xml:space="preserve"/>
              <w:br/>
              <w:t xml:space="preserve">de schijnbare verhoging van een voorwerp onder water verklaren</w:t>
              <w:br/>
              <w:t xml:space="preserve"/>
              <w:br/>
              <w:t xml:space="preserve">de grenshoek en de totale terugkaatsing aanduiden in concrete voorbeelden zoals optische vezels, periscopen of verrekijkers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de dunne bolle lens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bij een dunne bolle lens tekenen en de eigenschappen van het beeld toelichten (virtueel of reëel, rechtopstaand of omgekeerd, vergroot of verkleind)</w:t>
              <w:br/>
              <w:t xml:space="preserve"/>
              <w:br/>
              <w:t xml:space="preserve">de beeldvorming bij het menselijk oog verklaren; bijziendheid en verziendheid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optische toestellen: het vergrootglas en het fototoestel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bij het vergrootglas en het fototoestel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rubriek 'Opdrachten' vind je een probleemstelling die je moet verwerken volgens een vast stappenplan. Thuis voer je onder begeleiding van een andere persoon zoals een van je ouders, de opdracht uit. Het is een vrij eenvoudig proefje. Je volgt daarbij de aanpak die we voorschrijven . Die aanpak is de natuurwetenschappelijke onderzoeksmethode:</w:t>
      </w:r>
    </w:p>
    <w:p>
      <w:pPr>
        <w:pStyle w:val="ListParagraph"/>
        <w:numPr>
          <w:ilvl w:val="0"/>
          <w:numId w:val="10"/>
        </w:numPr>
      </w:pPr>
      <w:r>
        <w:rPr/>
        <w:t xml:space="preserve">je vertrekt van een probleemstelling of een onderzoeksvraag,</w:t>
      </w:r>
    </w:p>
    <w:p>
      <w:pPr>
        <w:pStyle w:val="ListParagraph"/>
        <w:numPr>
          <w:ilvl w:val="0"/>
          <w:numId w:val="10"/>
        </w:numPr>
      </w:pPr>
      <w:r>
        <w:rPr/>
        <w:t xml:space="preserve">je voert het proefje uit volgens een voorgeschreven werkplan</w:t>
      </w:r>
    </w:p>
    <w:p>
      <w:pPr>
        <w:pStyle w:val="ListParagraph"/>
        <w:numPr>
          <w:ilvl w:val="0"/>
          <w:numId w:val="10"/>
        </w:numPr>
      </w:pPr>
      <w:r>
        <w:rPr/>
        <w:t xml:space="preserve">je trekt een besluit op basis van je waarnemingen en resultaten.</w:t>
      </w:r>
    </w:p>
    <w:p>
      <w:r>
        <w:rPr/>
        <w:t xml:space="preserve"/>
        <w:br/>
        <w:t xml:space="preserve"/>
      </w:r>
    </w:p>
    <w:p>
      <w:r>
        <w:rPr/>
        <w:t xml:space="preserve">Op de dag van het examen toetsen we of je effectief het proefje benaderd hebt volgens die aanpak. We doen dat door je enkele schriftelijke vragen voor te leggen over je aanpak, over een eventueel resultaat en over je waarnemingen.</w:t>
      </w:r>
    </w:p>
    <w:p>
      <w:r>
        <w:rPr/>
        <w:t xml:space="preserve">In de tabel op de volgende bladzijde vind je in de derde kolom een bondig overzicht van de achterliggende inhoud van het soort vragen dat we je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1"/>
              </w:numPr>
            </w:pPr>
            <w:r>
              <w:rPr/>
              <w:t xml:space="preserve">Wat is volgens jou het probleem of de vraag die onderzocht wordt in je onderzoek?</w:t>
            </w:r>
          </w:p>
          <w:p>
            <w:pPr>
              <w:pStyle w:val="ListParagraph"/>
              <w:numPr>
                <w:ilvl w:val="0"/>
                <w:numId w:val="11"/>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kunnen je enkele onderzoeksresultaten geven in woorden, of we kunnen de meetwaarden in een tabel of in een grafiek tonen. Je moet dan de volgende vragen kunnen beantwoorden:</w:t>
              <w:br/>
              <w:t xml:space="preserve"/>
              <w:br/>
              <w:t xml:space="preserve"/>
            </w:r>
          </w:p>
          <w:p>
            <w:pPr>
              <w:pStyle w:val="ListParagraph"/>
              <w:numPr>
                <w:ilvl w:val="0"/>
                <w:numId w:val="12"/>
              </w:numPr>
            </w:pPr>
            <w:r>
              <w:rPr/>
              <w:t xml:space="preserve">Zijn de resultaten zoals die . in de tabel getoond worden aannemelijk of zit er een meetfout in?</w:t>
            </w:r>
          </w:p>
          <w:p>
            <w:pPr>
              <w:pStyle w:val="ListParagraph"/>
              <w:numPr>
                <w:ilvl w:val="0"/>
                <w:numId w:val="12"/>
              </w:numPr>
            </w:pPr>
            <w:r>
              <w:rPr/>
              <w:t xml:space="preserve">Is de grafiek ook ongeveer het soort grafiek die jij bekomen hebt bij de uitvoering en verwerking thuis?</w:t>
            </w:r>
          </w:p>
          <w:p>
            <w:pPr>
              <w:pStyle w:val="ListParagraph"/>
              <w:numPr>
                <w:ilvl w:val="0"/>
                <w:numId w:val="12"/>
              </w:numPr>
            </w:pPr>
            <w:r>
              <w:rPr/>
              <w:t xml:space="preserve">Zie je aan de resultaten of er een storende factor in het spel is zoals wrijving, energieverlies onder de vorm van warmte, …?</w:t>
            </w:r>
          </w:p>
          <w:p>
            <w:r>
              <w:rPr/>
              <w:t xml:space="preserve"/>
              <w:br/>
              <w:t xml:space="preserve"/>
              <w:br/>
              <w:t xml:space="preserve"/>
              <w:br/>
              <w:t xml:space="preserve">We kunnen je vragen om de resultaten te rapporteren; je zal dan een besluit moeten formuleren over jouw resultaten. Je zal daarvoor een instructiebladkrijgen om je te ondersteunen. . Een vraag daarbij zou kunnen zijn:</w:t>
              <w:br/>
              <w:t xml:space="preserve"/>
              <w:br/>
              <w:t xml:space="preserve"/>
            </w:r>
          </w:p>
          <w:p>
            <w:pPr>
              <w:pStyle w:val="ListParagraph"/>
              <w:numPr>
                <w:ilvl w:val="0"/>
                <w:numId w:val="13"/>
              </w:numPr>
            </w:pPr>
            <w:r>
              <w:rPr/>
              <w:t xml:space="preserve">Wordt de hypothese tegengesproken of bevestigd? Waarom?</w:t>
            </w:r>
          </w:p>
          <w:p>
            <w:r>
              <w:rPr/>
              <w:t xml:space="preserve"/>
              <w:br/>
              <w:t xml:space="preserve"/>
              <w:br/>
              <w:t xml:space="preserve"/>
              <w:br/>
              <w:t xml:space="preserve">We kunnen jou bijkomende informatie geven uit een wetenschappelijk artikel. We kunnen dan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Om je wetenschappelijke vaardigheden te ontwikkelen moet je thuis onder begeleiding de opdrachten op de volgende bladzijden uitvoeren. Het zijn drie eenvoudige opdrachten waarvan de eerste twee terreinstudies zijn. Tijdens het examen krijg je daar enkele inhoudelijke vragen over. </w:t>
        <w:br/>
        <w:t>Je mag je resultaten van deze opdracht meebrengen naar het examen. </w:t>
        <w:br/>
        <w:t/>
      </w:r>
      <w:r w:rsidRPr="003E4776">
        <w:t/>
      </w:r>
    </w:p>
    <w:p w14:paraId="5B5E3ED3" w14:textId="0FE7D0D3" w:rsidR="0076163F" w:rsidRDefault="0076163F" w:rsidP="0076163F">
      <w:r w:rsidRPr="003E4776">
        <w:t/>
      </w:r>
      <w:r>
        <w:t>Opdracht NAT2A.pdf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Bijlagen_NAT2A.pdf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het verslag van je onderzoeksopdrachten</w:t>
      </w:r>
    </w:p>
    <w:p>
      <w:pPr>
        <w:jc w:val="both"/>
      </w:pPr>
      <w:r>
        <w:t xml:space="preserve">Je mag enkel gebruik maken van het eenvoudige rekenmachine dat beschikbaar is op het examen (op de computer). Een grafisch rekentoestel of eigen rekentoestel is niet toegelaten.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druk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br/>
              <w:t xml:space="preserve"/>
              <w:br/>
              <w:t xml:space="preserve">ChemieGO</w:t>
              <w:br/>
              <w:t xml:space="preserve"/>
              <w:br/>
              <w:t xml:space="preserve">Quark</w:t>
              <w:br/>
              <w:t xml:space="preserve"/>
              <w:br/>
              <w:t xml:space="preserve">Sirius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br/>
              <w:t xml:space="preserve"/>
              <w:br/>
              <w:t xml:space="preserve">03 / 200 45 80</w:t>
              <w:br/>
              <w:t xml:space="preserve">bestellingen@uitgeverijdeboeck.be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Bioskoop</w:t>
              <w:br/>
              <w:t xml:space="preserve"/>
              <w:br/>
              <w:t xml:space="preserve">chemieXpert</w:t>
              <w:br/>
              <w:t xml:space="preserve"/>
              <w:br/>
              <w:t xml:space="preserve">FysicaXpert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br/>
              <w:t xml:space="preserve"/>
              <w:br/>
              <w:t xml:space="preserve">Op weg met chemie</w:t>
              <w:br/>
              <w:t xml:space="preserve"/>
              <w:br/>
              <w:t xml:space="preserve">Impuls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wat betreft verschillende biologische/biochemische processen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