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uitbreiding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Evenwel is de bewijsvoering eigen, belangrijk en noodzakelijk aan wiskunde. Ook dit is een leerrijke ervaring.</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Getallenleer en algebra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 vlakke meetkundige figuren en ruimtefiguren: kubus, balk, prisma en piramide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schaal, congruentie en gelijkvormigheid herkennen</w:t>
              <w:br/>
              <w:t xml:space="preserve"/>
              <w:br/>
              <w:t xml:space="preserve">de gelijkvormigheidskenmerken herkennen</w:t>
              <w:br/>
              <w:t xml:space="preserve"/>
              <w:br/>
              <w:t xml:space="preserve">de gelijkvormigheid van driehoeken gebruiken om de lengte van lijnstukken te berekenen</w:t>
              <w:br/>
              <w:t xml:space="preserve"/>
              <w:br/>
              <w:t xml:space="preserve">de gelijkvormigheidskenmerken herkennen bij ruimtefiguren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zijden van driehoeken te berekenen</w:t>
              <w:br/>
              <w:t xml:space="preserve"/>
              <w:br/>
              <w:t xml:space="preserve">deze stelling toepassen om de lengte van lijnstukken, zowel in het vlak als in de ruimte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gebruiken om één zijde te berekenen in een rechthoekige driehoek als de twee andere zijden gegeven zijn</w:t>
              <w:br/>
              <w:t xml:space="preserve"/>
              <w:br/>
              <w:t xml:space="preserve">deze stelling herkennen in een vlakke meetkundige figuur die kan opgesplitst worden in rechthoekige driehoeken</w:t>
              <w:br/>
              <w:t xml:space="preserve"/>
              <w:br/>
              <w:t xml:space="preserve">deze stelling toepassen in eenvoudige ruimtelijke situaties zoals de hoogte van een piramide, de lengte van een ribbe van een vierzijdige 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afstand berekenen tussen twee punten gegeven door hun coördinaten in een cartesisch assenstelsel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in een cirkel: middelloodlijn, straal, koorde, middelpuntshoek, omtrekshoek, raaklijn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gebruiken bij berekeningen</w:t>
              <w:br/>
              <w:t xml:space="preserve"/>
              <w:br/>
              <w:t xml:space="preserve">de onderlinge ligging van een cirkel en een rechte onderzoeken</w:t>
              <w:br/>
              <w:t xml:space="preserve"/>
              <w:br/>
              <w:t xml:space="preserve">het verband tussen een middelpuntshoek en een omtrekshoek gebruiken bij berekeningen</w:t>
              <w:br/>
              <w:t xml:space="preserve"/>
              <w:br/>
              <w:t xml:space="preserve">de raaklijn in een punt van een cirkel tekenen</w:t>
              <w:br/>
              <w:t xml:space="preserve"/>
              <w:br/>
              <w:t xml:space="preserve">de raaklijn uit een punt aan een cirkel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goniometrische getallen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goniometrische getallen definiëren</w:t>
              <w:br/>
              <w:t xml:space="preserve"/>
              <w:br/>
              <w:t xml:space="preserve">deze goniometrische getallen berekenen met behulp van ICT</w:t>
              <w:br/>
              <w:t xml:space="preserve"/>
              <w:br/>
              <w:t xml:space="preserve">het maatgetal van een scherpe hoek berekenen als de goniometrische getallen gegeven zijn</w:t>
              <w:br/>
              <w:t xml:space="preserve"/>
              <w:br/>
              <w:t xml:space="preserve">deze getallen gebruiken om rechthoekige driehoeken op te lossen</w:t>
              <w:br/>
              <w:t xml:space="preserve"/>
              <w:br/>
              <w:t xml:space="preserve">deze getallen gebruiken om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rechten en vlakken in de ruimte</w:t>
              <w:br/>
              <w:t xml:space="preserve"/>
              <w:br/>
              <w:t xml:space="preserve">de begrippen: evenwijdig, loodrecht, snijdend en kruisend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kubus of balk voor de onderlinge ligging van een vlak en een rechte, voor vlakken en rechten onderling</w:t>
              <w:br/>
              <w:t xml:space="preserve"/>
              <w:br/>
              <w:t xml:space="preserve">in tweedimensionale afbeeldingen van driedimensionale situaties het verlies aan informatie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ruimtelijke situaties opsplitsen in eenvoudige ruimtefiguren: balk, kubus, cilinder, bol, piramide en hiervan het volume of de inhoud exact of benaderend berekenen</w:t>
              <w:br/>
              <w:t xml:space="preserve"/>
              <w:br/>
              <w:t xml:space="preserve">een vergroting of verkleining herkennen bij een schaalverandering bij de ruimtefiguren kubus, balk en cilinder</w:t>
              <w:br/>
              <w:t xml:space="preserve"/>
              <w:br/>
              <w:t xml:space="preserve">de gelijkvormigheidsfactor gebruiken om de inhoud en de oppervlakte bij een schaalverandering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Getallenleer en algebra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herkennen als een eindig of een oneindig doorlopend decimaal getal</w:t>
              <w:br/>
              <w:t xml:space="preserve"/>
              <w:br/>
              <w:t xml:space="preserve">deze getallen plaatsen op een getallenas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voor machten met gehele exponenten</w:t>
              <w:br/>
              <w:t xml:space="preserve"/>
              <w:br/>
              <w:t xml:space="preserve">de rekenregels voor vierkantswortels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om berekeningen met reële getallen en met lettervormen te vereenvoudigen</w:t>
              <w:br/>
              <w:t xml:space="preserve"/>
              <w:br/>
              <w:t xml:space="preserve">de bewerkingen met vierkantswortels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formules uit de meetkunde of de fysica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variabele in functie van de andere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tweedegraadsveeltermen</w:t>
              <w:br/>
              <w:t xml:space="preserve"/>
              <w:br/>
              <w:t xml:space="preserve">de ontbindingstechnieken: methode van de discriminant, som en productregel, merkwaardige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tweedegraadsveelterm ontbinden in factoren van de eerste 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eerstegraadsvergelijkingen</w:t>
              <w:br/>
              <w:t xml:space="preserve"/>
              <w:br/>
              <w:t xml:space="preserve">tweedegraadsvergelijkingen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eerstegraadsvergelijking oplossen</w:t>
              <w:br/>
              <w:t xml:space="preserve"/>
              <w:br/>
              <w:t xml:space="preserve">een tweedegraadsvergelijking oplossen</w:t>
              <w:br/>
              <w:t xml:space="preserve"/>
              <w:br/>
              <w:t xml:space="preserve">een vraagstuk vertalen naar een eerste- of tweedegraadsvergelijking en deze oplossen</w:t>
              <w:br/>
              <w:t xml:space="preserve"/>
              <w:br/>
              <w:t xml:space="preserve">eerste- en tweedegraadsvergelijkingen oplossen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eerstegraadsongelijkheden</w:t>
              <w:br/>
              <w:t xml:space="preserve"/>
              <w:br/>
              <w:t xml:space="preserve">tweedegraadsongelijkheden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eerstegraadsongelijkheid oplossen</w:t>
              <w:br/>
              <w:t xml:space="preserve"/>
              <w:br/>
              <w:t xml:space="preserve">een tweedegraadsongelijkheid oplossen</w:t>
              <w:br/>
              <w:t xml:space="preserve"/>
              <w:br/>
              <w:t xml:space="preserve">een vraagstuk vertalen naar een eerste- of tweedegraadsongelijkheid en deze oplossen</w:t>
              <w:br/>
              <w:t xml:space="preserve"/>
              <w:br/>
              <w:t xml:space="preserve">eerste- en tweedegraadsongelijkheden oplossen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Standaardfuncties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functie: verwoording, tabel, grafiek en voorschrift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een betekenisvolle situatie vertalen naar een functieverband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functievoorschrift van de standaardfuncties</w:t>
              <w:br/>
              <w:t xml:space="preserve"/>
              <w:br/>
              <w:t xml:space="preserve"/>
            </w:r>
            <w:r>
              <w:rPr/>
            </w:r>
            <m:oMath>
              <m:r>
                <m:t>f(x)</m:t>
              </m:r>
              <m:r>
                <m:rPr>
                  <m:nor/>
                </m:rPr>
                <m:t> = </m:t>
              </m:r>
              <m:r>
                <m:t>x,</m:t>
              </m:r>
              <m:r>
                <m:rPr>
                  <m:nor/>
                </m:rPr>
                <m:t/>
              </m:r>
              <m:r>
                <m:t>f(x)</m:t>
              </m:r>
              <m:r>
                <m:rPr>
                  <m:nor/>
                </m:rPr>
                <m:t> = </m:t>
              </m:r>
              <m:sSup>
                <m:e>
                  <m:r>
                    <m:t>x</m:t>
                  </m:r>
                </m:e>
                <m:sup>
                  <m:r>
                    <m:t>2</m:t>
                  </m:r>
                </m:sup>
              </m:sSup>
              <m:r>
                <m:t>,</m:t>
              </m:r>
              <m:r>
                <m:rPr>
                  <m:nor/>
                </m:rPr>
                <m:t/>
              </m:r>
              <m:r>
                <m:t>f(x)</m:t>
              </m:r>
              <m:r>
                <m:rPr>
                  <m:nor/>
                </m:rPr>
                <m:t> = </m:t>
              </m:r>
              <m:sSup>
                <m:e>
                  <m:r>
                    <m:t>x</m:t>
                  </m:r>
                </m:e>
                <m:sup>
                  <m:r>
                    <m:t>3</m:t>
                  </m:r>
                </m:sup>
              </m:sSup>
              <m:r>
                <m:t>,</m:t>
              </m:r>
              <m:r>
                <m:rPr>
                  <m:nor/>
                </m:rPr>
                <m:t/>
              </m:r>
              <m:r>
                <m:t>f(x)</m:t>
              </m:r>
              <m:r>
                <m:rPr>
                  <m:nor/>
                </m:rPr>
                <m:t> = </m:t>
              </m:r>
              <m:f>
                <m:fPr>
                  <m:type m:val="bar"/>
                </m:fPr>
                <m:num>
                  <m:r>
                    <m:t>1</m:t>
                  </m:r>
                </m:num>
                <m:den>
                  <m:r>
                    <m:t>x</m:t>
                  </m:r>
                </m:den>
              </m:f>
              <m:r>
                <m:t>,</m:t>
              </m:r>
              <m:r>
                <m:rPr>
                  <m:nor/>
                </m:rPr>
                <m:t/>
              </m:r>
              <m:r>
                <m:t>f(x)</m:t>
              </m:r>
              <m:r>
                <m:rPr>
                  <m:nor/>
                </m:rPr>
                <m:t> = </m:t>
              </m:r>
              <m:rad>
                <m:radPr>
                  <m:degHide m:val="on"/>
                </m:radPr>
                <m:deg/>
                <m:e>
                  <m:r>
                    <m:t>x</m:t>
                  </m:r>
                </m:e>
              </m:rad>
            </m:oMath>
            <w:r>
              <w:rPr/>
              <w:t xml:space="preserve"/>
              <w:br/>
              <w:t xml:space="preserve"/>
              <w:br/>
              <w:t xml:space="preserve">de kenmerken van de standaardfuncties: domein en bereik, nulwaarden, extremawaarden, symmetrie,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waardentabel opstellen voor deze functies</w:t>
              <w:br/>
              <w:t xml:space="preserve"/>
              <w:br/>
              <w:t xml:space="preserve">deze functies tekenen met behulp van ICT</w:t>
              <w:br/>
              <w:t xml:space="preserve"/>
              <w:br/>
              <w:t xml:space="preserve"> </w:t>
              <w:br/>
              <w:t xml:space="preserve"/>
              <w:br/>
              <w:t xml:space="preserve">deze kenmerken afleiden uit de grafische voorstelling van de 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functies </w:t>
            </w:r>
            <w:r>
              <w:rPr/>
            </w:r>
            <m:oMath>
              <m:r>
                <m:t>f(x)</m:t>
              </m:r>
              <m:r>
                <m:rPr>
                  <m:nor/>
                </m:rPr>
                <m:t/>
              </m:r>
              <m:r>
                <m:t>+k,</m:t>
              </m:r>
              <m:r>
                <m:rPr>
                  <m:nor/>
                </m:rPr>
                <m:t/>
              </m:r>
              <m:r>
                <m:t>f(x</m:t>
              </m:r>
              <m:r>
                <m:rPr>
                  <m:nor/>
                </m:rPr>
                <m:t/>
              </m:r>
              <m:r>
                <m:t>+</m:t>
              </m:r>
              <m:r>
                <m:rPr>
                  <m:nor/>
                </m:rPr>
                <m:t/>
              </m:r>
              <m:r>
                <m:t>k)</m:t>
              </m:r>
              <m:r>
                <m:rPr>
                  <m:nor/>
                </m:rPr>
                <m:t/>
              </m:r>
              <m:r>
                <m:t>,</m:t>
              </m:r>
              <m:r>
                <m:rPr>
                  <m:nor/>
                </m:rPr>
                <m:t/>
              </m:r>
              <m:r>
                <m:t>kf(x)</m:t>
              </m:r>
              <m:r>
                <m:rPr>
                  <m:nor/>
                </m:rPr>
                <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vanuit de standaardfuncties</w:t>
              <w:br/>
              <w:t xml:space="preserve"/>
              <w:br/>
              <w:t xml:space="preserve"/>
            </w:r>
            <w:r>
              <w:rPr/>
            </w:r>
            <m:oMath>
              <m:r>
                <m:rPr>
                  <m:nor/>
                </m:rPr>
                <m:t/>
              </m:r>
              <m:r>
                <m:t>f(x)</m:t>
              </m:r>
              <m:r>
                <m:rPr>
                  <m:nor/>
                </m:rPr>
                <m:t> = </m:t>
              </m:r>
              <m:r>
                <m:t>x,</m:t>
              </m:r>
              <m:r>
                <m:rPr>
                  <m:nor/>
                </m:rPr>
                <m:t/>
              </m:r>
              <m:r>
                <m:t>f(x)</m:t>
              </m:r>
              <m:r>
                <m:rPr>
                  <m:nor/>
                </m:rPr>
                <m:t> = </m:t>
              </m:r>
              <m:sSup>
                <m:e>
                  <m:r>
                    <m:t>x</m:t>
                  </m:r>
                </m:e>
                <m:sup>
                  <m:r>
                    <m:t>2</m:t>
                  </m:r>
                </m:sup>
              </m:sSup>
            </m:oMath>
            <w:r>
              <w:rP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de tabel, het functievoorschrift,  de richtingscoëfficiënt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een eerstegraadsverband herkennen in een tabel of grafische voorstelling</w:t>
              <w:br/>
              <w:t xml:space="preserve"/>
              <w:br/>
              <w:t xml:space="preserve">het functievoorschrift opstellen vanuit een tabel of grafiek</w:t>
              <w:br/>
              <w:t xml:space="preserve"/>
              <w:br/>
              <w:t xml:space="preserve">de richtingscoëfficiënt afleiden uit de tabel of de grafische voorstelling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nulpunt van de grafiek van een eerstegraadsfunctie en de oplossing van een eerstegraadsvergelijking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afleiden van de grafische voorstelling</w:t>
              <w:br/>
              <w:t xml:space="preserve"/>
              <w:br/>
              <w:t xml:space="preserve">het snijpunt van de rechte met de x-as interpreteren als het nulpunt van de functie</w:t>
              <w:br/>
              <w:t xml:space="preserve"/>
              <w:br/>
              <w:t xml:space="preserve">de bijhorende eerstegraadvergelijking oplossen om het nulpunt van de functie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eerstegraadsongelijkheid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van een functie gebruiken om een ongelijkheid op te lossen</w:t>
              <w:br/>
              <w:t xml:space="preserve"/>
              <w:br/>
              <w:t xml:space="preserve">vraagstukken oplossen, die kunnen beschreven worden met een eerstegraadsfunctie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coëfficiënten a en b in y = ax + 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coëfficiënten interpreteren in toepassingen, waarin gebruik gemaakt wordt van een eerstegraadsfunctie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Tweedegraadsfuncties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het functievoorschrift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het functievoorschrift opstellen als enkele punten van de parabool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domein, bereik, symmetrie en top, nulpunten, tekenverandering,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uit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nulpunten van een parabool en de wortels (oplossingen) van een vierkantsvergelijking (tweedegraadsvergelijking)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tweedegraadsvergelijking oplossen om de nulpunten van de functie te bepalen</w:t>
              <w:br/>
              <w:t xml:space="preserve"/>
              <w:br/>
              <w:t xml:space="preserve">het verband leggen tussen het aantal oplossingen van de vergelijking en de nulpunten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tweedegraadsongelijkheid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weergeven in een schematische voorstelling</w:t>
              <w:br/>
              <w:t xml:space="preserve"/>
              <w:br/>
              <w:t xml:space="preserve">de tekenverandering gebruiken om een tweedegraadsongelijkheid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extremavraagstukken vertalen naar een tweedegraadsfunctie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Stelsels eerstegraadsvergelijkingen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methode van de gelijkstelling, substitutie- en combinatiemethode</w:t>
              <w:br/>
              <w:t xml:space="preserve"/>
              <w:br/>
              <w:t xml:space="preserve">de grafische oplossingsmethode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gebruiken om een stelsel van twee vergelijkingen van de eerste graad met twee onbekenden op te lossen</w:t>
              <w:br/>
              <w:t xml:space="preserve"/>
              <w:br/>
              <w:t xml:space="preserve">het snijpunt van twee rechten interpreteren als de oplossing van een stelsel eerstegraadsvergelijkingen</w:t>
              <w:br/>
              <w:t xml:space="preserve"/>
              <w:br/>
              <w:t xml:space="preserve">vraagstukken vertalen naar een stelsel eerstegraadsvergelijkingen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parabolen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snijpunten van rechten en/of parabolen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punten algebraïsch bepalen</w:t>
              <w:br/>
              <w:t xml:space="preserve"/>
              <w:br/>
              <w:t xml:space="preserve">deze punten grafisch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richtingscoëfficiënt van een rechte</w:t>
              <w:br/>
              <w:t xml:space="preserve"/>
              <w:br/>
              <w:t xml:space="preserve">de gemiddelde verandering over een interval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differentiequotiënt aanduiden als de richtingscoëfficiënt op een grafische voorstelling van een rechte</w:t>
              <w:br/>
              <w:t xml:space="preserve"/>
              <w:br/>
              <w:t xml:space="preserve">een differentiequotiënt berekenen</w:t>
              <w:br/>
              <w:t xml:space="preserve"/>
              <w:br/>
              <w:t xml:space="preserve">het differentiequotiënt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kwantitatieve en kwalitatieve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variabelen herkennen in voorbeelden uit kranten, tijdschriften, internetpagina’s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steekproef en populatie</w:t>
              <w:br/>
              <w:t xml:space="preserve"/>
              <w:br/>
              <w:t xml:space="preserve">het begrip representatieve steekproef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voorbeelden uit kranten, tijdschriften, internetpagina’s</w:t>
              <w:br/>
              <w:t xml:space="preserve"/>
              <w:br/>
              <w:t xml:space="preserve">de representativiteit van een steekproef  in verband brengen met de besluitvorming voor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frequentietabellen van individuele en gegroepeerde gegevens: absolute, relatieve en cumulatieve frequentie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gegevens ordenen in een frequentietabel</w:t>
              <w:br/>
              <w:t xml:space="preserve"/>
              <w:br/>
              <w:t xml:space="preserve">deze frequenties van gegevens uit concrete situaties in kranten, tijdschriften, internetpagina’s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van individuele en gegroepeerde gegevens: gemiddelde, mediaan, modus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centrummaten berekenen of bepalen met behulp van ICT</w:t>
              <w:br/>
              <w:t xml:space="preserve"/>
              <w:br/>
              <w:t xml:space="preserve">deze centrummaten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spreidingsmaten van individuele en gegroepeerde gegevens: variatiebreedte, standaardafwijking,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spreidingsmaten berekenen of bepalen met behulp van ICT</w:t>
              <w:br/>
              <w:t xml:space="preserve"/>
              <w:br/>
              <w:t xml:space="preserve">deze spreidingsmaten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voorstellingen  van individuele of gegroepeerde gegevens: staafdiagram, histogram, ogief,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uit deze voorstellingen en interpreteren</w:t>
              <w:br/>
              <w:t xml:space="preserve"/>
              <w:br/>
              <w:t xml:space="preserve">de juiste informatie terugvinden in een misleidende voorstelling</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experimentele en theoretische kans</w:t>
              <w:br/>
              <w:t xml:space="preserve"/>
              <w:br/>
              <w:t xml:space="preserve">de wet van Laplace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herkennen tussen de experimentele en theoretische kans</w:t>
              <w:br/>
              <w:t xml:space="preserve"/>
              <w:br/>
              <w:t xml:space="preserve">de theoretische kans afleiden uit experimenten</w:t>
              <w:br/>
              <w:t xml:space="preserve"/>
              <w:br/>
              <w:t xml:space="preserve">deze wet gebruiken om kansen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2aso_bijlage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2aso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begrijp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 </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Getallenleer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Wiskunde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
              <w:br/>
              <w:t xml:space="preserve">Nando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Nova </w:t>
              <w:br/>
              <w:t xml:space="preserve"/>
              <w:br/>
              <w:t xml:space="preserve">WP+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w:t>
              <w:br/>
              <w:t xml:space="preserve"/>
              <w:br/>
              <w:t xml:space="preserve">Argument </w:t>
              <w:br/>
              <w:t xml:space="preserve"/>
              <w:br/>
              <w:t xml:space="preserve">Kruispunt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