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fytologie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de tabel in bijlage kan je aflezen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r>
    </w:p>
    <w:p>
      <w:r>
        <w:rPr/>
        <w:t xml:space="preserve">Uitgebreide informatie lees je in de vakfiche Stage (FTA) 3 tso</w:t>
      </w:r>
    </w:p>
    <w:p>
      <w:r>
        <w:rPr/>
        <w:t xml:space="preserve">In het vak fytologie leer je de verschillende delen en gebruiksvormen van planten als grondstof voor geneesmiddelen, je maakt kennis met de voornaamste geneeskrachtige planten met farmaceutische actieve stoffen en je maakt kennis met de begrippen homeopathie en fytotherapie</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FYTOLOGIE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FYTOLOGIE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8"/>
              </w:numPr>
            </w:pPr>
            <w:r>
              <w:rPr/>
              <w:t xml:space="preserve">planten</w:t>
            </w:r>
          </w:p>
          <w:p>
            <w:pPr>
              <w:pStyle w:val="ListParagraph"/>
              <w:numPr>
                <w:ilvl w:val="0"/>
                <w:numId w:val="8"/>
              </w:numPr>
            </w:pPr>
            <w:r>
              <w:rPr/>
              <w:t xml:space="preserve">plantenfamilies</w:t>
              <w:br/>
              <w:t xml:space="preserve"/>
            </w:r>
          </w:p>
          <w:p>
            <w:r>
              <w:rPr/>
              <w:t xml:space="preserve"/>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9"/>
              </w:numPr>
            </w:pPr>
            <w:r>
              <w:rPr/>
              <w:t xml:space="preserve">de algemene bouw van de zaadplanten beschrijven</w:t>
            </w:r>
          </w:p>
          <w:p>
            <w:pPr>
              <w:pStyle w:val="ListParagraph"/>
              <w:numPr>
                <w:ilvl w:val="0"/>
                <w:numId w:val="9"/>
              </w:numPr>
            </w:pPr>
            <w:r>
              <w:rPr/>
              <w:t xml:space="preserve">de belangrijkste kenmerken en voorbeelden geven van volgende families: Lipbloemenfamilie, Composietenfamilie, Nachtschadefamilie, Vlinderbloemfamilie. </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0"/>
              </w:numPr>
            </w:pPr>
            <w:r>
              <w:rPr/>
              <w:t xml:space="preserve">gebruik van planten als grondstof voor geneesmiddelen</w:t>
            </w:r>
          </w:p>
          <w:p>
            <w:pPr>
              <w:pStyle w:val="ListParagraph"/>
              <w:numPr>
                <w:ilvl w:val="0"/>
                <w:numId w:val="10"/>
              </w:numPr>
            </w:pPr>
            <w:r>
              <w:rPr/>
              <w:t xml:space="preserve">verschillende gebruiksvormen:</w:t>
            </w:r>
          </w:p>
          <w:p>
            <w:pPr>
              <w:pStyle w:val="ListParagraph"/>
              <w:numPr>
                <w:ilvl w:val="1"/>
                <w:numId w:val="10"/>
              </w:numPr>
            </w:pPr>
            <w:r>
              <w:rPr/>
              <w:t xml:space="preserve">vers</w:t>
            </w:r>
          </w:p>
          <w:p>
            <w:pPr>
              <w:pStyle w:val="ListParagraph"/>
              <w:numPr>
                <w:ilvl w:val="1"/>
                <w:numId w:val="10"/>
              </w:numPr>
            </w:pPr>
            <w:r>
              <w:rPr/>
              <w:t xml:space="preserve">droog</w:t>
            </w:r>
          </w:p>
          <w:p>
            <w:pPr>
              <w:pStyle w:val="ListParagraph"/>
              <w:numPr>
                <w:ilvl w:val="1"/>
                <w:numId w:val="10"/>
              </w:numPr>
            </w:pPr>
            <w:r>
              <w:rPr/>
              <w:t xml:space="preserve">verschillende extracten               </w:t>
              <w:br/>
              <w:t xml:space="preserve"/>
            </w:r>
          </w:p>
          <w:p>
            <w:pPr>
              <w:pStyle w:val="ListParagraph"/>
              <w:numPr>
                <w:ilvl w:val="0"/>
                <w:numId w:val="10"/>
              </w:numPr>
            </w:pPr>
            <w:r>
              <w:rPr/>
              <w:t xml:space="preserve">inhoudsstoffen </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1"/>
              </w:numPr>
            </w:pPr>
            <w:r>
              <w:rPr/>
              <w:t xml:space="preserve">de diverse gebruiksvormen van planten als grondstof voor geneesmiddelen beschrijven </w:t>
              <w:br/>
              <w:t xml:space="preserve"/>
              <w:br/>
              <w:t xml:space="preserve"/>
              <w:br/>
              <w:t xml:space="preserve"/>
              <w:br/>
              <w:t xml:space="preserve"/>
            </w:r>
          </w:p>
          <w:p>
            <w:pPr>
              <w:pStyle w:val="ListParagraph"/>
              <w:numPr>
                <w:ilvl w:val="0"/>
                <w:numId w:val="11"/>
              </w:numPr>
            </w:pPr>
            <w:r>
              <w:rPr/>
              <w:t xml:space="preserve">van de voornaamste inhoudsstoffen de plantaardige oorsprong, de chemische en farmacologische eigenschappen aangeven</w:t>
            </w:r>
          </w:p>
          <w:p>
            <w:pPr>
              <w:pStyle w:val="ListParagraph"/>
              <w:numPr>
                <w:ilvl w:val="1"/>
                <w:numId w:val="11"/>
              </w:numPr>
            </w:pPr>
            <w:r>
              <w:rPr/>
              <w:t xml:space="preserve">de flavonoïden </w:t>
            </w:r>
          </w:p>
          <w:p>
            <w:pPr>
              <w:pStyle w:val="ListParagraph"/>
              <w:numPr>
                <w:ilvl w:val="1"/>
                <w:numId w:val="11"/>
              </w:numPr>
            </w:pPr>
            <w:r>
              <w:rPr/>
              <w:t xml:space="preserve">bitterstoffen </w:t>
            </w:r>
          </w:p>
          <w:p>
            <w:pPr>
              <w:pStyle w:val="ListParagraph"/>
              <w:numPr>
                <w:ilvl w:val="1"/>
                <w:numId w:val="11"/>
              </w:numPr>
            </w:pPr>
            <w:r>
              <w:rPr/>
              <w:t xml:space="preserve">slijmstoffen </w:t>
            </w:r>
          </w:p>
          <w:p>
            <w:pPr>
              <w:pStyle w:val="ListParagraph"/>
              <w:numPr>
                <w:ilvl w:val="1"/>
                <w:numId w:val="11"/>
              </w:numPr>
            </w:pPr>
            <w:r>
              <w:rPr/>
              <w:t xml:space="preserve">taninen </w:t>
            </w:r>
          </w:p>
          <w:p>
            <w:pPr>
              <w:pStyle w:val="ListParagraph"/>
              <w:numPr>
                <w:ilvl w:val="1"/>
                <w:numId w:val="11"/>
              </w:numPr>
            </w:pPr>
            <w:r>
              <w:rPr/>
              <w:t xml:space="preserve">etherische oliën </w:t>
            </w:r>
          </w:p>
          <w:p>
            <w:pPr>
              <w:pStyle w:val="ListParagraph"/>
              <w:numPr>
                <w:ilvl w:val="1"/>
                <w:numId w:val="11"/>
              </w:numPr>
            </w:pPr>
            <w:r>
              <w:rPr/>
              <w:t xml:space="preserve">glycosiden </w:t>
            </w:r>
          </w:p>
          <w:p>
            <w:pPr>
              <w:pStyle w:val="ListParagraph"/>
              <w:numPr>
                <w:ilvl w:val="1"/>
                <w:numId w:val="11"/>
              </w:numPr>
            </w:pPr>
            <w:r>
              <w:rPr/>
              <w:t xml:space="preserve">alkaloïden</w:t>
              <w:br/>
              <w:t xml:space="preserve"/>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fytotherapie</w:t>
              <w:br/>
              <w:t xml:space="preserve"/>
              <w:br/>
              <w:t xml:space="preserve"/>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van volgende voorbeelden de actieve bestanddelen, de gebruikstoepassing en de eventuele gevaren geven: </w:t>
            </w:r>
          </w:p>
          <w:p>
            <w:pPr>
              <w:pStyle w:val="ListParagraph"/>
              <w:numPr>
                <w:ilvl w:val="0"/>
                <w:numId w:val="12"/>
              </w:numPr>
            </w:pPr>
            <w:r>
              <w:rPr/>
              <w:t xml:space="preserve">Sint-Janskruid </w:t>
            </w:r>
          </w:p>
          <w:p>
            <w:pPr>
              <w:pStyle w:val="ListParagraph"/>
              <w:numPr>
                <w:ilvl w:val="0"/>
                <w:numId w:val="12"/>
              </w:numPr>
            </w:pPr>
            <w:r>
              <w:rPr/>
              <w:t xml:space="preserve">Panax Ginseng </w:t>
            </w:r>
          </w:p>
          <w:p>
            <w:pPr>
              <w:pStyle w:val="ListParagraph"/>
              <w:numPr>
                <w:ilvl w:val="0"/>
                <w:numId w:val="12"/>
              </w:numPr>
            </w:pPr>
            <w:r>
              <w:rPr/>
              <w:t xml:space="preserve">Valeriaan </w:t>
            </w:r>
          </w:p>
          <w:p>
            <w:pPr>
              <w:pStyle w:val="ListParagraph"/>
              <w:numPr>
                <w:ilvl w:val="0"/>
                <w:numId w:val="12"/>
              </w:numPr>
            </w:pPr>
            <w:r>
              <w:rPr/>
              <w:t xml:space="preserve">Ginko biloba </w:t>
            </w:r>
          </w:p>
          <w:p>
            <w:pPr>
              <w:pStyle w:val="ListParagraph"/>
              <w:numPr>
                <w:ilvl w:val="0"/>
                <w:numId w:val="12"/>
              </w:numPr>
            </w:pPr>
            <w:r>
              <w:rPr/>
              <w:t xml:space="preserve">Hop </w:t>
            </w:r>
          </w:p>
          <w:p>
            <w:pPr>
              <w:pStyle w:val="ListParagraph"/>
              <w:numPr>
                <w:ilvl w:val="0"/>
                <w:numId w:val="12"/>
              </w:numPr>
            </w:pPr>
            <w:r>
              <w:rPr/>
              <w:t xml:space="preserve">Vingerhoedskruid </w:t>
            </w:r>
          </w:p>
          <w:p>
            <w:pPr>
              <w:pStyle w:val="ListParagraph"/>
              <w:numPr>
                <w:ilvl w:val="0"/>
                <w:numId w:val="12"/>
              </w:numPr>
            </w:pPr>
            <w:r>
              <w:rPr/>
              <w:t xml:space="preserve">Papaver </w:t>
            </w:r>
          </w:p>
          <w:p>
            <w:pPr>
              <w:pStyle w:val="ListParagraph"/>
              <w:numPr>
                <w:ilvl w:val="0"/>
                <w:numId w:val="12"/>
              </w:numPr>
            </w:pPr>
            <w:r>
              <w:rPr/>
              <w:t xml:space="preserve">gember</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fungi als producent van geneesmiddelen </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oorsprong en de werking kunnen geven van het antibioticum geproduceerd door fungi.</w:t>
              <w:br/>
              <w:t xml:space="preserve"/>
              <w:br/>
              <w:t xml:space="preserve">Van de schimmels verantwoordelijk voor de productie van alkaloïden (ergotamine) de naam en levenswijze kennen alsook de farmacologische eigenschappen.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3"/>
              </w:numPr>
            </w:pPr>
            <w:r>
              <w:rPr/>
              <w:t xml:space="preserve">homeopathie en fytotherapie. </w:t>
            </w:r>
          </w:p>
          <w:p>
            <w:pPr>
              <w:pStyle w:val="ListParagraph"/>
              <w:numPr>
                <w:ilvl w:val="0"/>
                <w:numId w:val="13"/>
              </w:numPr>
            </w:pPr>
            <w:r>
              <w:rPr/>
              <w:t xml:space="preserve">het gebruik van homeopathie</w:t>
            </w:r>
          </w:p>
          <w:p>
            <w:pPr>
              <w:pStyle w:val="ListParagraph"/>
              <w:numPr>
                <w:ilvl w:val="0"/>
                <w:numId w:val="13"/>
              </w:numPr>
            </w:pPr>
            <w:r>
              <w:rPr/>
              <w:t xml:space="preserve">alternatieve geneeswijzen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4"/>
              </w:numPr>
            </w:pPr>
            <w:r>
              <w:rPr/>
              <w:t xml:space="preserve">het onderscheid aantonen tussen homeopathie en fytotherapie en </w:t>
            </w:r>
          </w:p>
          <w:p>
            <w:pPr>
              <w:pStyle w:val="ListParagraph"/>
              <w:numPr>
                <w:ilvl w:val="0"/>
                <w:numId w:val="14"/>
              </w:numPr>
            </w:pPr>
            <w:r>
              <w:rPr/>
              <w:t xml:space="preserve">het verschil in werking tussen homeopathie en fytotherapie uitleggen.</w:t>
            </w:r>
          </w:p>
          <w:p>
            <w:pPr>
              <w:pStyle w:val="ListParagraph"/>
              <w:numPr>
                <w:ilvl w:val="0"/>
                <w:numId w:val="14"/>
              </w:numPr>
            </w:pPr>
            <w:r>
              <w:rPr/>
              <w:t xml:space="preserve">een kritische houding tegenover alternatieve geneeswijzen aannemen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verhouding vakken EC_CVO.pdf</w:t>
      </w:r>
      <w:r w:rsidRPr="003E4776">
        <w:t/>
      </w:r>
    </w:p>
    <w:p w14:paraId="499D1B0A" w14:textId="79267327" w:rsidR="0076163F" w:rsidRDefault="0076163F" w:rsidP="0076163F">
      <w:r w:rsidRPr="003E4776">
        <w:t/>
      </w:r>
      <w:r>
        <w:t>Algemene boekenlijst fta.pdf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01-01-2019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vak fytologie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p>
    <w:p>
      <w:pPr>
        <w:jc w:val="both"/>
      </w:pPr>
      <w:r>
        <w:t xml:space="preserve">Je maakt op het examen gebruik van een digitale rekenmachine.</w:t>
      </w:r>
    </w:p>
    <w:p>
      <w:pPr>
        <w:jc w:val="both"/>
      </w:pPr>
      <w:r>
        <w:t xml:space="preserve">Een digitale rekenmachine kan je aanklikken met het icoontje, dat je terugvindt onderaan links op je scherm. Je kan met deze toets je berekeningen maken gedurende de tijd van je examen.</w:t>
      </w:r>
    </w:p>
    <w:p>
      <w:pPr>
        <w:jc w:val="both"/>
      </w:pPr>
      <w:r>
        <w:t xml:space="preserve"/>
      </w:r>
    </w:p>
    <w:p>
      <w:pPr>
        <w:jc w:val="both"/>
      </w:pPr>
      <w:r>
        <w:t xml:space="preserve">Je hoeft dus zelf geen rekenmachine meer mee te brengen. Een gsm, tablet of smartphone zijn niet toegelaten om te rekenen.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Zaadplanten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Plantenfamilies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Plant als grondstof</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Inhoudsstoffen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Fytotherapie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Fungi</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Homeopathie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 </w:t>
        <w:br/>
        <w:t xml:space="preserve">Bij elke nieuwe editie van de vakfiche actualiseren we deze bibliografie. Toch is het best mogelijk dat bepaalde werken niet meer verkrijgbaar zijn of dat nieuwe werken die al op de markt zijn nog niet zijn opgenomen. </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 </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groene apotheek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Deltas</w:t>
              <w:br/>
              <w:t xml:space="preserve"/>
              <w:br/>
              <w:t xml:space="preserve">http://www.plantaardigheden.nl/meer_info/boeken/toepassing/groene_apotheek.htm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D-MMV-0001-364 NUR 861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Een algemene boekenlijst FTA vind je in bijlage.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WINKLER PRINS MEDISCHE ENCYCLOPEDIE, april 2007, Het Spectrum, ISBN: 978-90-274-7609-8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