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Een brede beheersing van het Nederlands maakt het mogelijk om optimaal te functioneren en te participeren in onze maatschappij en jezelf te ontplooien. Zij is een belangrijke sleutel tot maatschappelijk succes op het vlak van scholing en arbeid. Hoe doeltreffender je kan communiceren in het Nederlands, hoe meer deuren voor je opengaan.</w:t>
      </w:r>
    </w:p>
    <w:p>
      <w:r>
        <w:rPr/>
        <w:t xml:space="preserve">Daarom moet je rekening houden met de context: afhankelijk van de communicatiesituatie worden boodschappen anders geformuleerd. Om doeltreffend te communiceren, moet je daarom een boodschap kunnen begrijpen vanuit een bepaalde context en kunnen overbrengen in functie van een bepaalde context en een bepaald publiek. Hoe beter je daarop inspeelt en je taal daarop afstemt, hoe doeltreffender je communiceert. Eenzelfde boodschap - bijvoorbeeld dat je iets niet weet - formuleer je inderdaad op een andere manier voor vrienden dan voor een onbekende volwassene die aan een infobalie werkt.</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 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fragment uit een interview</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w:t>
              <w:br/>
              <w:t xml:space="preserve"/>
              <w:br/>
              <w:t xml:space="preserve">een recensie van concert</w:t>
              <w:br/>
              <w:t xml:space="preserve"/>
              <w:br/>
              <w:t xml:space="preserve">een fragment uit een roman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reclamespot</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opiniestuk uit een krant</w:t>
              <w:br/>
              <w:t xml:space="preserve"/>
              <w:br/>
              <w:t xml:space="preserve">een interview over een actueel maatschappelijk onderwerp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instructies voor het afleggen van het rijexamen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 van een onderwijsinstantie over studiefinanciering</w:t>
              <w:br/>
              <w:t xml:space="preserve"/>
              <w:br/>
              <w:t xml:space="preserve">een uitnodiging voor een stage</w:t>
              <w:br/>
              <w:t xml:space="preserve"/>
              <w:br/>
              <w:t xml:space="preserve">een (job)advertentie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vaktechnische presentatie waarin de voor- en nadelen van een nieuw product worden beschreven</w:t>
              <w:br/>
              <w:t xml:space="preserve"/>
              <w:br/>
              <w:t xml:space="preserve">een onderhandelingsgesprek waarin een contract voor een dienst wordt voorbereid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voor het onderhoud van een apparaat of machine</w:t>
              <w:br/>
              <w:t xml:space="preserve"/>
              <w:br/>
              <w:t xml:space="preserve">een overzichtstabel van de opties bij de verschillende modellen van een bepaald automerk</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Schrijven doe je zowel in formele als informele situaties. Het spreekt voor zich dat je je taalgebruik afstemt op die situaties en telkens de gepaste omgangsvormen en beleefdheidsformules gebruikt. Bij zakelijke communicatie zorg je er ook voor dat je de NBN-normen (BIN-normen) nauwgezet toepast. Daarnaast is het belangrijk dat je je tekst logisch opbouwt en dat je steeds voor ogen houdt wat het doel van de opdracht is.</w:t>
      </w:r>
    </w:p>
    <w:p>
      <w:r>
        <w:rPr/>
        <w:t xml:space="preserve">Voor schrijven doe je dat in de vorm van een (beargumenteerd) verslag, een brief of een e-mail… Uiteraard verzorg je je taal, spelling, handschrift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w:t>
              <w:br/>
              <w:t xml:space="preserve">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w:t>
              <w:br/>
              <w:t xml:space="preserve">op voorstellen reageren</w:t>
              <w:br/>
              <w:t xml:space="preserve"/>
              <w:br/>
              <w:t xml:space="preserve">je mening geven en voorstellen doen</w:t>
              <w:br/>
              <w:t xml:space="preserve"/>
              <w:br/>
              <w:t xml:space="preserve">-          om problemen op te lossen en/of</w:t>
              <w:br/>
              <w:t xml:space="preserve">-          praktische beslissingen te nemen</w:t>
              <w:br/>
              <w:t xml:space="preserve"/>
              <w:br/>
              <w:t xml:space="preserve">een klacht uiten en opvolgen</w:t>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schrijfopdracht voor te bereiden, lees je eerst goed de opdracht om precies te weten wat je moet doen en hoe je daarbij moet inspelen op de communicatiesituatie. Is die formeel of informeel? Pas je taalgebruik aan aan je publiek.</w:t>
      </w:r>
    </w:p>
    <w:p>
      <w:r>
        <w:rPr/>
        <w:t xml:space="preserve">Probeer eerst een schrijfplan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Voor spreken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Uiteraard spreek je enkel Standaardnederlands en gebruik je bij alle gesprekken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motiveren waarom je voor een bepaalde reisbestemming hebt gekozen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filmpje waarin je oproept om organen te doneren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waardering uitspreken voor je stagebegeleider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presentatie geven van de resultaten van een onderzoek dat je gevoerd hebt</w:t>
              <w:br/>
              <w:t xml:space="preserve"/>
              <w:br/>
              <w:t xml:space="preserve">een pleidooi houden voor een andere aanpak van het werk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spreekopdracht voor te bereiden lees je eerst goed de opdracht om precies te weten wat je moet doen en hoe je daarbij moet inspelen op de communicatiesituatie. Pas je taalgebruik aan je publiek: de luisteraar of voor wie je tekst bedoeld is.</w:t>
      </w:r>
    </w:p>
    <w:p>
      <w:r>
        <w:rPr/>
        <w:t xml:space="preserve">Probeer eerst een spreekplan te maken om je ideeën te ordenen. Het geeft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klacht formuleert over een recente aankoop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discussie voert over een actueel politiek thema</w:t>
              <w:br/>
              <w:t xml:space="preserve"/>
              <w:br/>
              <w:t xml:space="preserve">een inlichting vraagt aan een loketbediende van het gemeentehuis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stagebegeleider je stageverslag bespreekt</w:t>
              <w:br/>
              <w:t xml:space="preserve"/>
              <w:br/>
              <w:t xml:space="preserve">de schooldirectie om inlichtingen vraagt over de inschrijvingsvoorwaarden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je baas van gedachten wisselt over de te hoge werkdruk in het bedrijf</w:t>
              <w:br/>
              <w:t xml:space="preserve"/>
              <w:br/>
              <w:t xml:space="preserve">met je baas onderhandelt over loonopslag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Je moet enkele literaire begrippen op dat fragment kunnen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br/>
              <w:t xml:space="preserve"/>
              <w:b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genrekenmerken herkennen in een literair fragment</w:t>
              <w:br/>
              <w:t xml:space="preserve"/>
              <w:br/>
              <w:t xml:space="preserve">verhaalelementen herkennen in een literair fragment</w:t>
              <w:br/>
              <w:t xml:space="preserve"/>
              <w:br/>
              <w:t xml:space="preserve">vormelijke en inhoudelijke elementen herkennen in en toepassen op een literair fragment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roman, poëzie, strips, theater, tv-drama, de soap, de sage, de fabel, de legende, de mythe, het sprookje, ...</w:t>
              <w:br/>
              <w:t xml:space="preserve"/>
              <w:br/>
              <w:t xml:space="preserve">verhaalelementen zoals personages, spanning, thema, tijd, ruimte, ik- en hij-verteller, ...</w:t>
              <w:br/>
              <w:t xml:space="preserve"/>
              <w:br/>
              <w:t xml:space="preserve">vormelijke en inhoudelijke elementen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Literatuurgeschiedenis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mondelinge examen moet je de boeken die je gelezen hebt kunnen duiden in hun cultuurhistorische context. Bij de discussie over de inhoud van het boek zullen de examinatoren ook vragen stellen over die context. Ook op het schriftelijk examen kunnen bij de teksten vragen over de cultuurhistorische context gesteld worden.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leven en werk van de gekozen auteurs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en het belang van het boek duiden in het oeuvre van de auteur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en het belang van het boek in het oeuvre van de auteur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boek of de tekst situeren binnen de Nederlandse literatuur en binnen de literair-historische periode of stroming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literair-historische periode of stroming waartoe een boek of tekst behoort toepassen op het boek of de tekst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de literair-historische periode of stroming waartoe een boek behoort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situeren, beschrijven, verklaren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Nederlands en andere talen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Indo-Europese talen en taalfamilies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situeren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het Nederlands binnen de Indo-Europese talen en taalfamilies situeren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Indo-Europese talen en taalfamilies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plaats van het Nederlands in de wereld beschrijven</w:t>
              <w:br/>
              <w:t xml:space="preserve"/>
              <w:br/>
              <w:t xml:space="preserve">de invloed van het Nederlands op andere talen beschrijven</w:t>
              <w:br/>
              <w:t xml:space="preserve"/>
              <w:br/>
              <w:t xml:space="preserve">de evolutie van het Nederlands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plaats van het Nederlands in de wereld</w:t>
              <w:br/>
              <w:t xml:space="preserve"/>
              <w:br/>
              <w:t xml:space="preserve">de invloed van het Nederlands op andere talen</w:t>
              <w:br/>
              <w:t xml:space="preserve"/>
              <w:br/>
              <w:t xml:space="preserve">maatschappelijke, politieke en historische dimensies van taalverandering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Taalvariëteiten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taalvariëteiten in tekstfragmenten herkennen en benoemen</w:t>
              <w:br/>
              <w:t xml:space="preserve"/>
              <w:br/>
              <w:t xml:space="preserve">taalregisters in tekstfragmenten herkennen en benoemen</w:t>
              <w:br/>
              <w:t xml:space="preserve"/>
              <w:br/>
              <w:t xml:space="preserve">de begrippen van de dialectologie herkennen en benoemen</w:t>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leeftijds-, sociale en vaktaalkringen, zoals jongerentaal, het taalgebruik van mannen en vrouwen, jargon</w:t>
              <w:br/>
              <w:t xml:space="preserve"/>
              <w:br/>
              <w:t xml:space="preserve">soorten taalregisters, zoals formeel/informeel, archaïsch, vulgair</w:t>
              <w:br/>
              <w:t xml:space="preserve"/>
              <w:br/>
              <w:t xml:space="preserve">begrippen van de dialectologie en regionale taalvariëteiten zoals regiolect, taaleiland, dialectkaart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evolutie van het dialect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maatschappelijke, politieke en historische dimensies van taalverandering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begrippen van de dialectologie gebruiken om dialectkaarten te lezen en te interpreteren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 dialectologie zoals dialectkaart, stempelkaart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br/>
              <w:t xml:space="preserve"/>
              <w:br/>
              <w:t xml:space="preserve">deugdelijke argumenten en drogredenen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br/>
              <w:t xml:space="preserve"/>
              <w:br/>
              <w:t xml:space="preserve">deugdelijke argumenten zoals feitelijke argumenten</w:t>
              <w:br/>
              <w:t xml:space="preserve"/>
              <w:br/>
              <w:t xml:space="preserve">drogredenen zoals generalisatie, cirkelredenering</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Morfologie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uit de morfologie herkennen en benoemen</w:t>
              <w:br/>
              <w:t xml:space="preserve"/>
              <w:br/>
              <w:t xml:space="preserve">taalfouten op woordniveau herkennen en benoemen</w:t>
              <w:br/>
              <w:t xml:space="preserve"/>
              <w:br/>
              <w:t xml:space="preserve">soorten persoons- en plaatsnamen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belangrijke begrippen uit de morfologie zoals klanknabootsing, neologisme, letterwoord, volksetymologie, leenwoorden  en bastaardwoorden</w:t>
              <w:br/>
              <w:t xml:space="preserve"/>
              <w:br/>
              <w:t xml:space="preserve">barbarisme, dialectisme, purisme…</w:t>
              <w:br/>
              <w:t xml:space="preserve"/>
              <w:br/>
              <w:t xml:space="preserve">onomastiek (antroponymie en toponymie)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herkomst van woorden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etymologie, bastaardwoord, vreemd woord, onomatopee, geoniem, eponiem</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conventies voor het vormen van samenstellingen en afleidingen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conventies voor het vormen van samenstellingen en afleidingen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verschillende betekenissen van een woord herkennen en benoemen</w:t>
              <w:br/>
              <w:t xml:space="preserve"/>
              <w:br/>
              <w:t xml:space="preserve">begrippen die de woordbetekenis omschrijven, herkennen en benoemen</w:t>
              <w:br/>
              <w:t xml:space="preserve"/>
              <w:br/>
              <w:t xml:space="preserve">begrippen die betekenisrelaties aangeven, herkennen en benoemen</w:t>
              <w:br/>
              <w:t xml:space="preserve"/>
              <w:br/>
              <w:t xml:space="preserve">stijlfiguren herkennen en benoemen</w:t>
              <w:br/>
              <w:t xml:space="preserve"/>
              <w:br/>
              <w:t xml:space="preserve">stijlfouten herkennen en benoemen</w:t>
              <w:br/>
              <w:t xml:space="preserve"/>
              <w:br/>
              <w:t xml:space="preserve">vormen van beeldspraak herkennen en benoemen</w:t>
              <w:br/>
              <w:t xml:space="preserve"/>
              <w:b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w:t>
              <w:br/>
              <w:t xml:space="preserve"/>
              <w:br/>
              <w:t xml:space="preserve">begrippen zoals hyponymie en hyperonymie</w:t>
              <w:br/>
              <w:t xml:space="preserve"/>
              <w:br/>
              <w:t xml:space="preserve">stijlfiguren zoals eufemisme, pleonasme en tautologie, hyperbool, paradox</w:t>
              <w:br/>
              <w:t xml:space="preserve"/>
              <w:br/>
              <w:t xml:space="preserve">stijlfouten zoals tangconstructies, contaminatie, dubbele ontkenning, foutieve samentrekking, foutief gebruikt pleonasme en tautologie</w:t>
              <w:br/>
              <w:t xml:space="preserve"/>
              <w:br/>
              <w:t xml:space="preserve">metaforiek en metonymie</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beschrijven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betekenisverandering van een woord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betekenisverandering van woorden, evoluties zoals pejorisatie, meliorisatie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denotatie en de connotatie van een woord bepalen</w:t>
              <w:br/>
              <w:t xml:space="preserve"/>
              <w:br/>
              <w:t xml:space="preserve">stijlfiguren en beeldspraak gebruiken</w:t>
              <w:br/>
              <w:t xml:space="preserve"/>
              <w:br/>
              <w:t xml:space="preserve">modale zinnen, zinsdelen en woordgroepen gebruiken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denotatie/connotatie, polysemie, homonymie</w:t>
              <w:br/>
              <w:t xml:space="preserve"/>
              <w:br/>
              <w:t xml:space="preserve">stijlfiguren zoals eufemisme, pleonasme en tautologie, hyperbool, paradox</w:t>
              <w:br/>
              <w:t xml:space="preserve"/>
              <w:b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bijwoordelijke bepalingen en bijzinnen van modaliteit zoals 'op één of andere manier’, 'jammer genoeg’, 'naar het schijnt’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5B5E3ED3" w14:textId="0FE7D0D3" w:rsidR="0076163F" w:rsidRDefault="0076163F" w:rsidP="0076163F">
      <w:r w:rsidRPr="003E4776">
        <w:t/>
      </w:r>
      <w:r>
        <w:t>3TKSO_opdracht_literatuur.pdf</w:t>
      </w:r>
      <w:r w:rsidRPr="003E4776">
        <w:t/>
      </w:r>
    </w:p>
    <w:p w14:paraId="5B5E3ED3" w14:textId="0FE7D0D3" w:rsidR="0076163F" w:rsidRDefault="0076163F" w:rsidP="0076163F">
      <w:r w:rsidRPr="003E4776">
        <w:t/>
      </w:r>
      <w:r>
        <w:t>NED3KT boekenlijst met toelichting.pdf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30 minuten voor examens vanaf 07-03-2022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25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onzetaal.nl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onlinetaaladvies</w:t>
              <w:br/>
              <w:t xml:space="preserve"/>
              <w:br/>
              <w:t xml:space="preserve">overzichtspagina's met links over verschillende taalonderwerpen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taaladvies</w:t>
              <w:br/>
              <w:t xml:space="preserve"/>
              <w:br/>
              <w:t xml:space="preserve">adviezen voor helder en correct taalgebruik en efficiënte communicatie, overzicht van spellingsregels, lijst van gangbare afkortingen en letterwoorden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ans.ruhosting.nl/e-ans/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Onlineversie van de Algemene Nederlandse Spraakkunst: uitleg van de Nederlandse grammaticaregels met voorbeelden.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http://www.schooltv.nl/zoekresultaten/?q=literatuurgeschiedenis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19e eeuw: clips over verschillende perioden uit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www.vrt.be/vrtnws/nl</w:t>
              <w:br/>
              <w:t xml:space="preserve"/>
              <w:br/>
              <w:t xml:space="preserve">www.knack.be/nieuws/</w:t>
              <w:br/>
              <w:t xml:space="preserve"/>
              <w:br/>
              <w:t xml:space="preserve">www.tijd.be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 </w:t>
            </w:r>
            <w:r>
              <w:rPr>
                <w:i/>
              </w:rPr>
              <w:t xml:space="preserve">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w:t>
            </w:r>
            <w:r>
              <w:rPr/>
              <w:t xml:space="preserve">t, Uitgeverij Deviant Amersfoort, 2000, ISBN 9789080474642</w:t>
              <w:br/>
              <w:t xml:space="preserve"/>
              <w:br/>
              <w:t xml:space="preserve">Ter Laan, K., e.a., </w:t>
            </w:r>
            <w:r>
              <w:rPr>
                <w:i/>
              </w:rPr>
              <w:t xml:space="preserve">Nederlandse spreekwoorden, spreuken en zegswijzen</w:t>
            </w:r>
            <w:r>
              <w:rPr/>
              <w:t xml:space="preserve">, Utrecht: Het Spectrum, 2014,</w:t>
              <w:br/>
              <w:t xml:space="preserve">ISBN 9789000334957</w:t>
              <w:br/>
              <w:t xml:space="preserve"/>
              <w:br/>
              <w:t xml:space="preserve"/>
            </w:r>
            <w:r>
              <w:rPr>
                <w:i/>
              </w:rPr>
              <w:t xml:space="preserve">Van Dale Groot woordenboek van de Nederlandse taal</w:t>
            </w:r>
            <w:r>
              <w:rPr/>
              <w:t xml:space="preserve">: 15de editie, 2015, ISBN 9789460772221</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 – herziene editie</w:t>
            </w:r>
            <w:r>
              <w:rPr/>
              <w:t xml:space="preserve">, Amsterdam: Intertaal Uitgeverij b.v., 2014, ISBN 9789460301568 </w:t>
              <w:br/>
              <w:t xml:space="preserve"/>
              <w:br/>
              <w:t xml:space="preserve">Cooreman, A., e.a., </w:t>
            </w:r>
            <w:r>
              <w:rPr>
                <w:i/>
              </w:rPr>
              <w:t xml:space="preserve">Als spelling een kwelling is, boek 2</w:t>
            </w:r>
            <w:r>
              <w:rPr/>
              <w:t xml:space="preserve">, Uitgeverij Acco CV, 2014, ISBN 9789033498565</w:t>
              <w:br/>
              <w:t xml:space="preserve"/>
              <w:br/>
              <w:t xml:space="preserve">De Schryver, J., e.a., </w:t>
            </w:r>
            <w:r>
              <w:rPr>
                <w:i/>
              </w:rPr>
              <w:t xml:space="preserve">Handboek spelling</w:t>
            </w:r>
            <w:r>
              <w:rPr/>
              <w:t xml:space="preserve">, Mechelen: Plantyn, 2012, ISBN 9789030105817;</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Vandeweghe, W., e.a., </w:t>
            </w:r>
            <w:r>
              <w:rPr>
                <w:i/>
              </w:rPr>
              <w:t xml:space="preserve">Grammatica van de Nederlandse zin</w:t>
            </w:r>
            <w:r>
              <w:rPr/>
              <w:t xml:space="preserve">, Antwerpen: Garant, 2013, ISBN 9789044130546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Van Dale Taalhandboek Nederlands gebruiksaanwijzing van de Nederlandse taal</w:t>
            </w:r>
            <w:r>
              <w:rPr/>
              <w:t xml:space="preserve">, Van Dale Uitgevers, 2013, ISBN 9789460771132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w:t>
            </w:r>
            <w:r>
              <w:rPr>
                <w:i/>
              </w:rPr>
              <w:t xml:space="preserve"> 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