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OVSG O/2/2008/141 deel 6.2</w:t>
        <w:br/>
        <w:t>VVKSO D/2005/0279/015 deel 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br/>
        <w:t xml:space="preserve"/>
        <w:b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br/>
        <w:t xml:space="preserve"/>
        <w:br/>
        <w:t xml:space="preserve">Boekhouden is een methode om alle bedrijfsactiviteiten met financiële gevolgen op een uniforme wijze te registreren. Alle bedrijven moeten daarbij dezelfde spelregels respecteren zodat we ze bijvoorbeeld binnen eenzelfde sector kunnen vergelijken.</w:t>
        <w:br/>
        <w:t xml:space="preserve"/>
        <w:b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br/>
        <w:t xml:space="preserve"/>
        <w:b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br/>
        <w:t xml:space="preserve"/>
        <w:br/>
        <w:t xml:space="preserve"/>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br/>
        <w:t xml:space="preserve"/>
        <w:b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br/>
        <w:t xml:space="preserve"/>
        <w:b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pPr>
        <w:pStyle w:val="ListParagraph"/>
        <w:numPr>
          <w:ilvl w:val="0"/>
          <w:numId w:val="9"/>
        </w:numPr>
      </w:pPr>
      <w:r>
        <w:rPr/>
        <w:t xml:space="preserve">de eindejaarsverrichtingen</w:t>
      </w:r>
    </w:p>
    <w:p>
      <w:r>
        <w:rPr/>
        <w:t xml:space="preserve"> </w:t>
      </w:r>
    </w:p>
    <w:p>
      <w:r>
        <w:rPr/>
        <w:t xml:space="preserve">Hier wordt de basis gelegd voor het gebruik van de boekhouding als beleidsinstrument in de 3de graad.</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boekhoudkundig registreren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btw gebruiken we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pPr>
        <w:pStyle w:val="ListParagraph"/>
        <w:numPr>
          <w:ilvl w:val="0"/>
          <w:numId w:val="12"/>
        </w:numPr>
      </w:pPr>
      <w:r>
        <w:rPr/>
        <w:t xml:space="preserve">bij de btw-afrekening, één keer per kwartaal of per maand, voor de overboeking van het saldo:</w:t>
      </w:r>
    </w:p>
    <w:p>
      <w:pPr>
        <w:pStyle w:val="ListParagraph"/>
        <w:numPr>
          <w:ilvl w:val="1"/>
          <w:numId w:val="12"/>
        </w:numPr>
      </w:pPr>
      <w:r>
        <w:rPr/>
        <w:t xml:space="preserve">bij een vordering op de overheid:         41100</w:t>
      </w:r>
    </w:p>
    <w:p>
      <w:pPr>
        <w:pStyle w:val="ListParagraph"/>
        <w:numPr>
          <w:ilvl w:val="1"/>
          <w:numId w:val="12"/>
        </w:numPr>
      </w:pPr>
      <w:r>
        <w:rPr/>
        <w:t xml:space="preserve">bij een schuld aan de overheid:            45100</w:t>
      </w:r>
    </w:p>
    <w:p>
      <w:r>
        <w:rPr/>
        <w:t xml:space="preserve"> </w:t>
      </w:r>
    </w:p>
    <w:p>
      <w:r>
        <w:rPr/>
        <w:t xml:space="preserve">3.      Voor de kortingen en kosten op aan- en verkoopfacturen boeken we:</w:t>
      </w:r>
    </w:p>
    <w:p>
      <w:pPr>
        <w:pStyle w:val="ListParagraph"/>
        <w:numPr>
          <w:ilvl w:val="0"/>
          <w:numId w:val="13"/>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br/>
        <w:t xml:space="preserve"> </w:t>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pPr>
              <w:pStyle w:val="ListParagraph"/>
              <w:numPr>
                <w:ilvl w:val="0"/>
                <w:numId w:val="14"/>
              </w:numPr>
            </w:pPr>
            <w:r>
              <w:rPr/>
              <w:t xml:space="preserve">het begrip</w:t>
            </w:r>
          </w:p>
          <w:p>
            <w:pPr>
              <w:pStyle w:val="ListParagraph"/>
              <w:numPr>
                <w:ilvl w:val="0"/>
                <w:numId w:val="14"/>
              </w:numPr>
            </w:pPr>
            <w:r>
              <w:rPr/>
              <w:t xml:space="preserve">het doel</w:t>
            </w:r>
          </w:p>
          <w:p>
            <w:pPr>
              <w:pStyle w:val="ListParagraph"/>
              <w:numPr>
                <w:ilvl w:val="0"/>
                <w:numId w:val="14"/>
              </w:numPr>
            </w:pPr>
            <w:r>
              <w:rPr/>
              <w:t xml:space="preserve">boekhoudsystemen</w:t>
            </w:r>
          </w:p>
          <w:p>
            <w:pPr>
              <w:pStyle w:val="ListParagraph"/>
              <w:numPr>
                <w:ilvl w:val="1"/>
                <w:numId w:val="14"/>
              </w:numPr>
            </w:pPr>
            <w:r>
              <w:rPr/>
              <w:t xml:space="preserve">vereenvoudigd boekhouden</w:t>
            </w:r>
          </w:p>
          <w:p>
            <w:pPr>
              <w:pStyle w:val="ListParagraph"/>
              <w:numPr>
                <w:ilvl w:val="1"/>
                <w:numId w:val="14"/>
              </w:numPr>
            </w:pPr>
            <w:r>
              <w:rPr/>
              <w:t xml:space="preserve">dubbel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br/>
              <w:t xml:space="preserve"/>
              <w:br/>
              <w:t xml:space="preserve">het doel van een boekhouding verklaren</w:t>
              <w:br/>
              <w:t xml:space="preserve"/>
              <w:br/>
              <w:t xml:space="preserve">de enkelvoudige en de dubbele boekhouding met elkaar vergelijken</w:t>
              <w:br/>
              <w:t xml:space="preserve"/>
              <w:br/>
              <w:t xml:space="preserve">de keuze voor de enkelvoudige of de dubbele boekhouding verklaren aan de hand van een gegeven overzichtstabel met de categorieën van ondernemingen en hun wettelijke verplichtingen, wettelijke vormvereisten en verantwoordingsstukken.</w:t>
              <w:br/>
              <w:t xml:space="preserve">Deze overzichtstabel vind je in de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verplichtingen in verband met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boekhoudwetgeving in micro, mini en grote ondernemingen</w:t>
              <w:br/>
              <w:t xml:space="preserve"/>
              <w:br/>
              <w:t xml:space="preserve">voor de micro, mini en grote ondernemingen verklaren welke publicatieverplichtingen ze hebben</w:t>
              <w:br/>
              <w:t xml:space="preserve"/>
              <w:br/>
              <w:t xml:space="preserve">Deze overzichtstabel vind je in de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begrip resultaat beschrijven en toelichten</w:t>
              <w:br/>
              <w:t xml:space="preserve"/>
              <w:br/>
              <w:t xml:space="preserve">het resultaat berekenen</w:t>
              <w:br/>
              <w:t xml:space="preserve"/>
              <w:br/>
              <w:t xml:space="preserve">de resultaten groeperen in</w:t>
              <w:br/>
              <w:t xml:space="preserve"/>
              <w:br/>
              <w:t xml:space="preserve">bedrijfsresultaten</w:t>
              <w:br/>
              <w:t xml:space="preserve"/>
              <w:br/>
              <w:t xml:space="preserve">financiële resultaten</w:t>
              <w:br/>
              <w:t xml:space="preserve"/>
              <w:br/>
              <w:t xml:space="preserve"> </w:t>
              <w:br/>
              <w:t xml:space="preserve"/>
              <w:b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br/>
              <w:t xml:space="preserve"/>
              <w:br/>
              <w:t xml:space="preserve"> </w:t>
              <w:br/>
              <w:t xml:space="preserve"/>
              <w:br/>
              <w:t xml:space="preserve">het onderscheid tussen kosten en uitgaven enerzijds en tussen opbrengsten en inkomsten anderzijds herkennen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aankoopfactuur</w:t>
              <w:br/>
              <w:t xml:space="preserve"/>
              <w:br/>
              <w:t xml:space="preserve">handelsgoederen</w:t>
              <w:br/>
              <w:t xml:space="preserve"/>
              <w:br/>
              <w:t xml:space="preserve">diensten en diverse goederen</w:t>
              <w:br/>
              <w:t xml:space="preserve"/>
              <w:br/>
              <w:t xml:space="preserve">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de aankoopfactuur definiëren</w:t>
              <w:br/>
              <w:t xml:space="preserve"/>
              <w:br/>
              <w:t xml:space="preserve">een aankoopfactuur herkennen</w:t>
              <w:br/>
              <w:t xml:space="preserve"/>
              <w:br/>
              <w:t xml:space="preserve">het onderscheid tussen handelskorting en financiële korting verklaren</w:t>
              <w:br/>
              <w:t xml:space="preserve"/>
              <w:br/>
              <w:t xml:space="preserve">het onderscheid tussen verloren verpakking en terugstuurbare verpakking verklaren</w:t>
              <w:br/>
              <w:t xml:space="preserve"/>
              <w:br/>
              <w:t xml:space="preserve">verklaren waarom kosten, zoals vervoers- of  verzekeringskosten, de aankoopkosten verhogen</w:t>
              <w:br/>
              <w:t xml:space="preserve"/>
              <w:br/>
              <w:t xml:space="preserve">een aankoopfactuur inclusief btw (1 of meerdere btw-tarieven) met en zonder kortingen, kosten en terugstuurbare verpakking registreren</w:t>
              <w:br/>
              <w:t xml:space="preserve"/>
              <w:br/>
              <w:t xml:space="preserve">de vaste activa indelen in materiële, immateriële en financiële vaste activa;</w:t>
              <w:br/>
              <w:t xml:space="preserve"/>
              <w:br/>
              <w:t xml:space="preserve">voorbeelden van materiële vaste activa indelen in de juiste groep:</w:t>
              <w:br/>
              <w:t xml:space="preserve"/>
              <w:br/>
              <w:t xml:space="preserve"/>
            </w:r>
          </w:p>
          <w:p>
            <w:pPr>
              <w:pStyle w:val="ListParagraph"/>
              <w:numPr>
                <w:ilvl w:val="0"/>
                <w:numId w:val="16"/>
              </w:numPr>
            </w:pPr>
            <w:r>
              <w:rPr/>
              <w:t xml:space="preserve">terreinen en gebouwen</w:t>
            </w:r>
          </w:p>
          <w:p>
            <w:pPr>
              <w:pStyle w:val="ListParagraph"/>
              <w:numPr>
                <w:ilvl w:val="0"/>
                <w:numId w:val="16"/>
              </w:numPr>
            </w:pPr>
            <w:r>
              <w:rPr/>
              <w:t xml:space="preserve">installaties, machines en uitrusting</w:t>
            </w:r>
          </w:p>
          <w:p>
            <w:pPr>
              <w:pStyle w:val="ListParagraph"/>
              <w:numPr>
                <w:ilvl w:val="0"/>
                <w:numId w:val="16"/>
              </w:numPr>
            </w:pPr>
            <w:r>
              <w:rPr/>
              <w:t xml:space="preserve">meubilair en rollend materieel</w:t>
            </w:r>
          </w:p>
          <w:p>
            <w:r>
              <w:rPr/>
              <w:t xml:space="preserve"> </w:t>
              <w:br/>
              <w:t xml:space="preserve"/>
              <w:br/>
              <w:t xml:space="preserve">een eenvoudige aankoopfactuur van vaste activa inclusief btw met en zonder kosten boekhoudkundig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inkomende creditnota herkennen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winkelverkopen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definiëren</w:t>
              <w:br/>
              <w:t xml:space="preserve"/>
              <w:br/>
              <w:t xml:space="preserve">uit het totaal van de dagontvangsten de btw en de maatstaf van heffing berekenen</w:t>
              <w:br/>
              <w:t xml:space="preserve"/>
              <w:br/>
              <w:t xml:space="preserve">winkelverkopen registreren in het verkoopdagboek en in het financieel dagboek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met 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verkoopfactuur definiëren</w:t>
              <w:br/>
              <w:t xml:space="preserve"/>
              <w:br/>
              <w:t xml:space="preserve">het doel van een verkoopfactuur verklaren</w:t>
              <w:br/>
              <w:t xml:space="preserve"/>
              <w:br/>
              <w:t xml:space="preserve">een verkoopfactuur herkennen</w:t>
              <w:br/>
              <w:t xml:space="preserve"/>
              <w:br/>
              <w:t xml:space="preserve">eenvoudige verkoopfacturen inclusief btw (1 of meer btw-tarieven) met en zonder kortingen, kosten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diverse opbrengst uit verkoop, zoals huuropbrengsten,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uitgaande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uitgaande creditnota definiëren</w:t>
              <w:br/>
              <w:t xml:space="preserve"/>
              <w:br/>
              <w:t xml:space="preserve">het doel van een creditnota verklaren</w:t>
              <w:br/>
              <w:t xml:space="preserve"/>
              <w:br/>
              <w:t xml:space="preserve">de uitgaande creditnota herkennen</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kas en financiële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verrichtingen in verband met de kas, de kredietinstellingen en de Bank van de Post registreren (betalingen, inningen,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inning van verkoopfacturen,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interne overboekingen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rekening interne overboekingen verklaren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loonstaat en loonkost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definiëren</w:t>
              <w:br/>
              <w:t xml:space="preserve"/>
              <w:br/>
              <w:t xml:space="preserve">uit een loonstaat voor arbeiders en bedienden relevante gegevens afleiden zoals</w:t>
            </w:r>
          </w:p>
          <w:p>
            <w:pPr>
              <w:pStyle w:val="ListParagraph"/>
              <w:numPr>
                <w:ilvl w:val="0"/>
                <w:numId w:val="17"/>
              </w:numPr>
            </w:pPr>
            <w:r>
              <w:rPr/>
              <w:t xml:space="preserve">het bruto- en nettoloon of –salaris</w:t>
            </w:r>
          </w:p>
          <w:p>
            <w:pPr>
              <w:pStyle w:val="ListParagraph"/>
              <w:numPr>
                <w:ilvl w:val="0"/>
                <w:numId w:val="17"/>
              </w:numPr>
            </w:pPr>
            <w:r>
              <w:rPr/>
              <w:t xml:space="preserve">de werkgevers- en werknemersbijdrage rsz</w:t>
            </w:r>
          </w:p>
          <w:p>
            <w:pPr>
              <w:pStyle w:val="ListParagraph"/>
              <w:numPr>
                <w:ilvl w:val="0"/>
                <w:numId w:val="17"/>
              </w:numPr>
            </w:pPr>
            <w:r>
              <w:rPr/>
              <w:t xml:space="preserve">de bedrijfsvoorheffing</w:t>
            </w:r>
          </w:p>
          <w:p>
            <w:pPr>
              <w:pStyle w:val="ListParagraph"/>
              <w:numPr>
                <w:ilvl w:val="0"/>
                <w:numId w:val="17"/>
              </w:numPr>
            </w:pPr>
            <w:r>
              <w:rPr/>
              <w:t xml:space="preserve">de totale loonkost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registreren</w:t>
              <w:br/>
              <w:t xml:space="preserve"/>
              <w:br/>
              <w:t xml:space="preserve">aan de hand van de loonstaat de loonkosten en –schulden registreren</w:t>
              <w:br/>
              <w:t xml:space="preserve"/>
              <w:br/>
              <w:t xml:space="preserve">de betaling van de netto-lonen en -wedden, de rsz en de bedrijfsvoorheffing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w:t>
              <w:br/>
              <w:t xml:space="preserve"/>
              <w:br/>
              <w:t xml:space="preserve">de rekeningen die gebruikt worden voor btw op verkopen herkennen</w:t>
              <w:br/>
              <w:t xml:space="preserve"/>
              <w:br/>
              <w:t xml:space="preserve">het te betalen of terug te vorderen btw-saldo berekenen</w:t>
              <w:br/>
              <w:t xml:space="preserve"/>
              <w:br/>
              <w:t xml:space="preserve">de btw-verrekening registreren door de volgende btw-rekeningen te gebruiken:</w:t>
            </w:r>
          </w:p>
          <w:p>
            <w:pPr>
              <w:pStyle w:val="ListParagraph"/>
              <w:numPr>
                <w:ilvl w:val="0"/>
                <w:numId w:val="18"/>
              </w:numPr>
            </w:pPr>
            <w:r>
              <w:rPr/>
              <w:t xml:space="preserve">41110 Aftrekbare btw</w:t>
            </w:r>
          </w:p>
          <w:p>
            <w:pPr>
              <w:pStyle w:val="ListParagraph"/>
              <w:numPr>
                <w:ilvl w:val="0"/>
                <w:numId w:val="18"/>
              </w:numPr>
            </w:pPr>
            <w:r>
              <w:rPr/>
              <w:t xml:space="preserve">41120 Aftrekbare btw op uitgaande creditnota’s</w:t>
            </w:r>
          </w:p>
          <w:p>
            <w:pPr>
              <w:pStyle w:val="ListParagraph"/>
              <w:numPr>
                <w:ilvl w:val="0"/>
                <w:numId w:val="18"/>
              </w:numPr>
            </w:pPr>
            <w:r>
              <w:rPr/>
              <w:t xml:space="preserve">45110 Verschuldigde btw</w:t>
            </w:r>
          </w:p>
          <w:p>
            <w:pPr>
              <w:pStyle w:val="ListParagraph"/>
              <w:numPr>
                <w:ilvl w:val="0"/>
                <w:numId w:val="18"/>
              </w:numPr>
            </w:pPr>
            <w:r>
              <w:rPr/>
              <w:t xml:space="preserve">45120 Verschuldigde btw op inkomende creditnota’s</w:t>
            </w:r>
          </w:p>
          <w:p>
            <w:pPr>
              <w:pStyle w:val="ListParagraph"/>
              <w:numPr>
                <w:ilvl w:val="0"/>
                <w:numId w:val="18"/>
              </w:numPr>
            </w:pPr>
            <w:r>
              <w:rPr/>
              <w:t xml:space="preserve">41100 Terug te vorderen btw en 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19"/>
              </w:numPr>
            </w:pPr>
            <w:r>
              <w:rPr/>
              <w:t xml:space="preserve">btw aangifte</w:t>
            </w:r>
          </w:p>
          <w:p>
            <w:pPr>
              <w:pStyle w:val="ListParagraph"/>
              <w:numPr>
                <w:ilvl w:val="0"/>
                <w:numId w:val="19"/>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eenvoudige btw-aangifte invullen</w:t>
              <w:br/>
              <w:t xml:space="preserve"/>
              <w:br/>
              <w:t xml:space="preserve">het doel van de klantenlisting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btw-aangifte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btw-aangifte uit een boekhoudpakket halen en het document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uit het grootboek de voorlopige proef-en saldibalans afleiden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regularisatieboekingen verklaren</w:t>
              <w:br/>
              <w:t xml:space="preserve"/>
              <w:br/>
              <w:t xml:space="preserve">de regularisatieboekingen situeren in het verloop van alle boekhoudkundige verrichtingen van een boekjaar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afschrijvingen definiëren</w:t>
              <w:br/>
              <w:t xml:space="preserve"/>
              <w:br/>
              <w:t xml:space="preserve">het doel van afschrijvingen verklaren</w:t>
              <w:br/>
              <w:t xml:space="preserve"/>
              <w:br/>
              <w:t xml:space="preserve">verklaren dat de afschrijvingskost van vaste activa een invloed heeft op het bedrijfsresultaat van de onderneming</w:t>
              <w:br/>
              <w:t xml:space="preserve"/>
              <w:br/>
              <w:t xml:space="preserve">het bedrag van de jaarlijkse afschrijving berekenen volgens de lineaire afschrijvingsmethode rekening houdend met de restwaarde</w:t>
              <w:br/>
              <w:t xml:space="preserve"/>
              <w:br/>
              <w:t xml:space="preserve">de jaarlijkse afschrijving, de gecumuleerde afschrijvingen ende huidige boekwaarde berekenen in een afschrijvingstabel</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saldo van de rekening Voorraad handelsgoederen verklaren</w:t>
              <w:br/>
              <w:t xml:space="preserve"/>
              <w:br/>
              <w:t xml:space="preserve">de voorraadwijziging registreren</w:t>
              <w:br/>
              <w:t xml:space="preserve"/>
              <w:br/>
              <w:t xml:space="preserve">verklaren dat de voorraadwijziging handelsgoederen invloed heeft op het bedrijfsresultaat van de onderneming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gegevens uit de boekhouding het resultaat van het boekjaar berekenen</w:t>
              <w:br/>
              <w:t xml:space="preserve"/>
              <w:br/>
              <w:t xml:space="preserve">aan de hand van gegevens uit de boekhouding een resultatenrekening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het resultaat van het boekjaar naar het volgende boekjaar boekhoudkundig registreren (geen winstverdeling)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herkennen en toelichten</w:t>
              <w:br/>
              <w:t xml:space="preserve"/>
              <w:br/>
              <w:t xml:space="preserve">de informatie uit het grootboek, na de regularisatieboekingen en de overheveling van het resultaat, in de definitieve proef- en saldibalans onderbrengen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jaarrekening verklaren</w:t>
              <w:br/>
              <w:t xml:space="preserve"/>
              <w:br/>
              <w:t xml:space="preserve">de onderdelen van de jaarrekening herkennen, benoemen en toelichten</w:t>
              <w:br/>
              <w:t xml:space="preserve"/>
              <w:br/>
              <w:t xml:space="preserve">verklaren dat de eindbalans en de resultatenrekening onderdelen zijn van de jaarrekening</w:t>
              <w:br/>
              <w:t xml:space="preserve"/>
              <w:br/>
              <w:t xml:space="preserve">aan de hand van een definitieve proef- en saldibalans een eenvoudige balans en resultatenrekening invullen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p>
    <w:p>
      <w:pPr>
        <w:jc w:val="both"/>
      </w:pPr>
      <w:r>
        <w:t xml:space="preserve">- categorieën van ondernemingen volgens nieuwe boekhoudwetgeving</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Lees aandachtig de rubriek over de beoordeling van vragen. Daarin staat aangegeven welke delen van het boekhoudalgorime gequoteerd worden en welke niet.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Algemeen kader en 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Eindejaarsverrichtingen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Boekhouden voor het 3de jaar aso en tso (Coeck, Geuens)</w:t>
              <w:br/>
              <w:t xml:space="preserve">978-90-455-6079-3</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2.2 Boekhouden voor het 3de jaar aso en tso (Coeck, Geuens)</w:t>
              <w:br/>
              <w:t xml:space="preserve"/>
              <w:br/>
              <w:t xml:space="preserve">978-90-455-6082-3</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4 Dubbel boekhouden (Brawers, Smekens, Van Caer, …)</w:t>
              <w:br/>
              <w:t xml:space="preserve">978-90-455-5601-7</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4.2 (Snoeck, De Deken, …)</w:t>
              <w:br/>
              <w:t xml:space="preserve">978-90-301-8349-5</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4.1 (Snoeck, De Deken, …)</w:t>
              <w:br/>
              <w:t xml:space="preserve">978-90-301-8348-8</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klantendienst@plantyn.com</w:t>
              <w:br/>
              <w:t xml:space="preserve"/>
              <w:br/>
              <w:t xml:space="preserve">015 36 36 36</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