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examen praktijk waarnemingstekenen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Waarnemingstekenen 3kso komen uit het leerplan van het VVKSO (D/2011/7841/004), het GO! (2002/223) –  het GO! (2002/222) en het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ontwikkelt in het vak waarnemingstekenen het visueel en tactiel bewustzijn en vermogen. </w:t>
        <w:br/>
        <w:t xml:space="preserve"/>
        <w:br/>
        <w:t xml:space="preserve">Je maakt kennis met de universele beeldende taal waarmee je jezelf kan uitdrukken en je begrijpt en hanteert die.</w:t>
        <w:br/>
        <w:t xml:space="preserve"/>
        <w:br/>
        <w:t xml:space="preserve">Tekenen is een primaire en universele vorm van communicatie, het is een dialoog met de ruimte. Door de ruimte op analytische en structurele wijze te bestuderen, leer je je op authentieke wijze uitdrukken. Je hanteert hiervoor specifieke materialen en technieken.</w:t>
        <w:br/>
        <w:t xml:space="preserve"/>
        <w:br/>
        <w:t xml:space="preserve">Het examen Waarnemingstekenen bestaat uit een mondeling en praktisch gedeelte. Het praktisch gedeelte  bestaat uit twee toonmomenten en één examenmoment waarbij in verschillende (deel)opdrachten jouw kennis en vaardigheden worden getest.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en wie spreek je aan als vastloopt? Tijdens je leerproces zal je je trouwens ook voortdurend moeten afvragen of je al bereikt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Waarnemingstekenen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gericht waarnemen en tekenmethodes toepassen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gericht waarnemen en tekenmethodes toepassen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analyserend 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analyserend tekenen beschrijven en toelichten</w:t>
              <w:br/>
              <w:t xml:space="preserve"/>
              <w:br/>
              <w:t xml:space="preserve"> </w:t>
              <w:br/>
              <w:t xml:space="preserve"/>
              <w:br/>
              <w:t xml:space="preserve">een object, een object in een ruimte of een ruimte waarnemen, analyseren, onderzoeken en deze analyse gebruiken bij het analyserend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blindcontourtekenen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blindcontourtekenen beschrijven en toelichten</w:t>
              <w:br/>
              <w:t xml:space="preserve"/>
              <w:br/>
              <w:t xml:space="preserve"> </w:t>
              <w:br/>
              <w:t xml:space="preserve"/>
              <w:br/>
              <w:t xml:space="preserve">een object, een object in een ruimte of een ruimte waarnemen, analyseren, onderzoeken en deze analyse gebruiken bij het blindcontourtekenen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contourtekenen beschrijven en toelichten</w:t>
              <w:br/>
              <w:t xml:space="preserve"/>
              <w:br/>
              <w:t xml:space="preserve"> </w:t>
              <w:br/>
              <w:t xml:space="preserve"/>
              <w:br/>
              <w:t xml:space="preserve">een object, een object in een ruimte of een ruimte waarnemen, analyseren, onderzoeken en deze analyse gebruiken bij het contourtekenen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meten en schatten in functie van de waarneming</w:t>
              <w:br/>
              <w:t xml:space="preserve"/>
              <w:br/>
              <w:t xml:space="preserve">(grootste hoogte/grootste breedte, afstanden,  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meten en schatten in functie van de waarneming beschrijven en toelichten</w:t>
              <w:br/>
              <w:t xml:space="preserve"/>
              <w:br/>
              <w:t xml:space="preserve"> </w:t>
              <w:br/>
              <w:t xml:space="preserve"/>
              <w:br/>
              <w:t xml:space="preserve">een object, een object in een ruimte of een ruimte waarnemen,  analyseren en onderzoeken via meet- en schatmethodes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snelschetsen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snelschetsen beschrijven en toelichten</w:t>
              <w:br/>
              <w:t xml:space="preserve"/>
              <w:br/>
              <w:t xml:space="preserve"> </w:t>
              <w:br/>
              <w:t xml:space="preserve"/>
              <w:br/>
              <w:t xml:space="preserve">zich in een korte tijdspanne een beeld vormen van een object, een object in een ruimte of een ruimte en deze analyse gebruiken bij het snelschetsen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positieve en negatieve ruimte in functie van de waarneming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positieve en negatieve ruimte in functie van de waarneming beschrijven en toelichten</w:t>
              <w:br/>
              <w:t xml:space="preserve"/>
              <w:br/>
              <w:t xml:space="preserve"> </w:t>
              <w:br/>
              <w:t xml:space="preserve"/>
              <w:br/>
              <w:t xml:space="preserve">een object, een object in een ruimte of een ruimte waarnemen, analyseren en onderzoeken door toepassing van de positieve en negatieve ruimte bij het waarnemen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compositie, organisatie, ordening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organisatie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ordening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ordening van een object, een object in een ruimte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verhoudingen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binnen een object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binnen een object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tussen verschillende objecten in een omgeving of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tussen de verschillende objecten in een omgeving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vormweergave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organische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organische en geometrische vormen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abstracte en figuurlijke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abstracte en figuurlijke vormen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ruimtewerking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binnen het waargenomen geheel toelichten, analyseren, onderzoeken en deze analyse gebruiken bij het waarnemingstekenen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ruimtewerking</w:t>
            </w:r>
          </w:p>
          <w:p>
            <w:pPr>
              <w:pStyle w:val="ListParagraph"/>
              <w:numPr>
                <w:ilvl w:val="0"/>
                <w:numId w:val="8"/>
              </w:numPr>
            </w:pPr>
            <w:r>
              <w:rPr/>
              <w:t xml:space="preserve">waargenomen diepte</w:t>
            </w:r>
          </w:p>
          <w:p>
            <w:pPr>
              <w:pStyle w:val="ListParagraph"/>
              <w:numPr>
                <w:ilvl w:val="0"/>
                <w:numId w:val="8"/>
              </w:numPr>
            </w:pPr>
            <w:r>
              <w:rPr/>
              <w:t xml:space="preserve">voorgrond</w:t>
            </w:r>
          </w:p>
          <w:p>
            <w:pPr>
              <w:pStyle w:val="ListParagraph"/>
              <w:numPr>
                <w:ilvl w:val="0"/>
                <w:numId w:val="8"/>
              </w:numPr>
            </w:pPr>
            <w:r>
              <w:rPr/>
              <w:t xml:space="preserve">achtergrond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ruimtewerking in al zijn facetten (waargenomen diepte, voorgrond en achtergrond)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volume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contrast, licht-donker, kleur, toon- en grijswaarden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9"/>
              </w:numPr>
            </w:pPr>
            <w:r>
              <w:rPr/>
              <w:t xml:space="preserve">contrast</w:t>
            </w:r>
          </w:p>
          <w:p>
            <w:pPr>
              <w:pStyle w:val="ListParagraph"/>
              <w:numPr>
                <w:ilvl w:val="0"/>
                <w:numId w:val="9"/>
              </w:numPr>
            </w:pPr>
            <w:r>
              <w:rPr/>
              <w:t xml:space="preserve">licht-donker</w:t>
            </w:r>
          </w:p>
          <w:p>
            <w:pPr>
              <w:pStyle w:val="ListParagraph"/>
              <w:numPr>
                <w:ilvl w:val="0"/>
                <w:numId w:val="9"/>
              </w:numPr>
            </w:pPr>
            <w:r>
              <w:rPr/>
              <w:t xml:space="preserve">kleur</w:t>
            </w:r>
          </w:p>
          <w:p>
            <w:pPr>
              <w:pStyle w:val="ListParagraph"/>
              <w:numPr>
                <w:ilvl w:val="0"/>
                <w:numId w:val="9"/>
              </w:numPr>
            </w:pPr>
            <w:r>
              <w:rPr/>
              <w:t xml:space="preserve">toon-en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contrast, licht-donker, kleur, toon- en grijswaarden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perspectief en constructie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0"/>
              </w:numPr>
            </w:pPr>
            <w:r>
              <w:rPr/>
              <w:t xml:space="preserve">een perspectief met één vluchtpunt</w:t>
            </w:r>
          </w:p>
          <w:p>
            <w:pPr>
              <w:pStyle w:val="ListParagraph"/>
              <w:numPr>
                <w:ilvl w:val="0"/>
                <w:numId w:val="10"/>
              </w:numPr>
            </w:pPr>
            <w:r>
              <w:rPr/>
              <w:t xml:space="preserve">een perspectief met twee vluchtpunten</w:t>
            </w:r>
          </w:p>
          <w:p>
            <w:pPr>
              <w:pStyle w:val="ListParagraph"/>
              <w:numPr>
                <w:ilvl w:val="0"/>
                <w:numId w:val="10"/>
              </w:numPr>
            </w:pPr>
            <w:r>
              <w:rPr/>
              <w:t xml:space="preserve">een perspectief met drie vluchtpunten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perspectief met één vluchtpunt, perspectief met twee vluchtpunten en perspectief met drie vluchtpunten herkennen, toelichten,  analyseren, onderzoeken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textuur, materiaalweergave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1"/>
              </w:numPr>
            </w:pPr>
            <w:r>
              <w:rPr/>
              <w:t xml:space="preserve">structuur (de opbouw)</w:t>
            </w:r>
          </w:p>
          <w:p>
            <w:pPr>
              <w:pStyle w:val="ListParagraph"/>
              <w:numPr>
                <w:ilvl w:val="0"/>
                <w:numId w:val="11"/>
              </w:numPr>
            </w:pPr>
            <w:r>
              <w:rPr/>
              <w:t xml:space="preserve">textuur (de manier waarop het object is samengesteld)</w:t>
            </w:r>
          </w:p>
          <w:p>
            <w:pPr>
              <w:pStyle w:val="ListParagraph"/>
              <w:numPr>
                <w:ilvl w:val="0"/>
                <w:numId w:val="11"/>
              </w:numPr>
            </w:pPr>
            <w:r>
              <w:rPr/>
              <w:t xml:space="preserve">materiaal(weergave)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structuur, textuur en materiaal(weergave) van een waargenomen object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 materiaal</w:t>
              <w:br/>
              <w:t xml:space="preserve"/>
              <w:br/>
              <w:t xml:space="preserve"/>
            </w:r>
          </w:p>
          <w:p>
            <w:pPr>
              <w:pStyle w:val="ListParagraph"/>
              <w:numPr>
                <w:ilvl w:val="0"/>
                <w:numId w:val="12"/>
              </w:numPr>
            </w:pPr>
            <w:r>
              <w:rPr/>
              <w:t xml:space="preserve">potlood</w:t>
            </w:r>
          </w:p>
          <w:p>
            <w:pPr>
              <w:pStyle w:val="ListParagraph"/>
              <w:numPr>
                <w:ilvl w:val="0"/>
                <w:numId w:val="12"/>
              </w:numPr>
            </w:pPr>
            <w:r>
              <w:rPr/>
              <w:t xml:space="preserve">pastel</w:t>
            </w:r>
          </w:p>
          <w:p>
            <w:pPr>
              <w:pStyle w:val="ListParagraph"/>
              <w:numPr>
                <w:ilvl w:val="0"/>
                <w:numId w:val="12"/>
              </w:numPr>
            </w:pPr>
            <w:r>
              <w:rPr/>
              <w:t xml:space="preserve">krijt (vet en droog)</w:t>
            </w:r>
          </w:p>
          <w:p>
            <w:pPr>
              <w:pStyle w:val="ListParagraph"/>
              <w:numPr>
                <w:ilvl w:val="0"/>
                <w:numId w:val="12"/>
              </w:numPr>
            </w:pPr>
            <w:r>
              <w:rPr/>
              <w:t xml:space="preserve">houtskool</w:t>
            </w:r>
          </w:p>
          <w:p>
            <w:pPr>
              <w:pStyle w:val="ListParagraph"/>
              <w:numPr>
                <w:ilvl w:val="0"/>
                <w:numId w:val="12"/>
              </w:numPr>
            </w:pPr>
            <w:r>
              <w:rPr/>
              <w:t xml:space="preserve">pen</w:t>
            </w:r>
          </w:p>
          <w:p>
            <w:pPr>
              <w:pStyle w:val="ListParagraph"/>
              <w:numPr>
                <w:ilvl w:val="0"/>
                <w:numId w:val="12"/>
              </w:numPr>
            </w:pPr>
            <w:r>
              <w:rPr/>
              <w:t xml:space="preserve">inkt</w:t>
            </w:r>
          </w:p>
          <w:p>
            <w:pPr>
              <w:pStyle w:val="ListParagraph"/>
              <w:numPr>
                <w:ilvl w:val="0"/>
                <w:numId w:val="12"/>
              </w:numPr>
            </w:pPr>
            <w:r>
              <w:rPr/>
              <w:t xml:space="preserve">penselen</w:t>
            </w:r>
          </w:p>
          <w:p>
            <w:pPr>
              <w:pStyle w:val="ListParagraph"/>
              <w:numPr>
                <w:ilvl w:val="0"/>
                <w:numId w:val="12"/>
              </w:numPr>
            </w:pPr>
            <w:r>
              <w:rPr/>
              <w:t xml:space="preserve">borstels</w:t>
            </w:r>
          </w:p>
          <w:p>
            <w:pPr>
              <w:pStyle w:val="ListParagraph"/>
              <w:numPr>
                <w:ilvl w:val="0"/>
                <w:numId w:val="12"/>
              </w:numPr>
            </w:pPr>
            <w:r>
              <w:rPr/>
              <w:t xml:space="preserve">verven (aquarel, acryl, gouache,...)</w:t>
            </w:r>
          </w:p>
          <w:p>
            <w:pPr>
              <w:pStyle w:val="ListParagraph"/>
              <w:numPr>
                <w:ilvl w:val="0"/>
                <w:numId w:val="12"/>
              </w:numPr>
            </w:pPr>
            <w:r>
              <w:rPr/>
              <w:t xml:space="preserve">papier (tekenkarton, linnen, hout,...) </w:t>
            </w:r>
          </w:p>
          <w:p>
            <w:pPr>
              <w:pStyle w:val="ListParagraph"/>
              <w:numPr>
                <w:ilvl w:val="0"/>
                <w:numId w:val="12"/>
              </w:numPr>
            </w:pPr>
            <w:r>
              <w:rPr/>
              <w:t xml:space="preserve">soorten dragers, hun textuur en hun formaat (blad - doek -paneel - muur - glas, ...)</w:t>
            </w:r>
          </w:p>
          <w:p>
            <w:pPr>
              <w:pStyle w:val="ListParagraph"/>
              <w:numPr>
                <w:ilvl w:val="0"/>
                <w:numId w:val="12"/>
              </w:numPr>
            </w:pPr>
            <w:r>
              <w:rPr/>
              <w:t xml:space="preserve">grafische computer hardware en - software (ICT)</w:t>
            </w:r>
          </w:p>
          <w:p>
            <w:pPr>
              <w:pStyle w:val="ListParagraph"/>
              <w:numPr>
                <w:ilvl w:val="0"/>
                <w:numId w:val="12"/>
              </w:numPr>
            </w:pPr>
            <w:r>
              <w:rPr/>
              <w:t xml:space="preserve">alle andere materialen die visuele twee- en/of driedimensionale sporen kunnen bevatten (bijvoorbeeld hout, metaal, zand, lucht, …)</w:t>
            </w:r>
          </w:p>
          <w:p>
            <w:pPr>
              <w:pStyle w:val="ListParagraph"/>
              <w:numPr>
                <w:ilvl w:val="0"/>
                <w:numId w:val="12"/>
              </w:numPr>
            </w:pPr>
            <w:r>
              <w:rPr/>
              <w:t xml:space="preserve">…</w:t>
            </w:r>
          </w:p>
          <w:p>
            <w:r>
              <w:rPr/>
              <w:t xml:space="preserve"> (deze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in al zijn facetten (potlood, pastel, krijt, houtskool, pen, inkt, …) herkennen, toelichten, analyseren, zelfstandig onderzoeken en mee experimenteren bij het ontwikkelen van persoonlijkheid, creativiteit en expressiviteit </w:t>
              <w:br/>
              <w:t xml:space="preserve"/>
              <w:br/>
              <w:t xml:space="preserve"> </w:t>
              <w:br/>
              <w:t xml:space="preserve"/>
              <w:br/>
              <w:t xml:space="preserve">het begrip beeldend materiaal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beeldende 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beeldende techniek</w:t>
              <w:br/>
              <w:t xml:space="preserve"/>
              <w:br/>
              <w:t xml:space="preserve"/>
            </w:r>
          </w:p>
          <w:p>
            <w:pPr>
              <w:pStyle w:val="ListParagraph"/>
              <w:numPr>
                <w:ilvl w:val="0"/>
                <w:numId w:val="13"/>
              </w:numPr>
            </w:pPr>
            <w:r>
              <w:rPr/>
              <w:t xml:space="preserve">potlood</w:t>
            </w:r>
          </w:p>
          <w:p>
            <w:pPr>
              <w:pStyle w:val="ListParagraph"/>
              <w:numPr>
                <w:ilvl w:val="0"/>
                <w:numId w:val="13"/>
              </w:numPr>
            </w:pPr>
            <w:r>
              <w:rPr/>
              <w:t xml:space="preserve">pastel</w:t>
            </w:r>
          </w:p>
          <w:p>
            <w:pPr>
              <w:pStyle w:val="ListParagraph"/>
              <w:numPr>
                <w:ilvl w:val="0"/>
                <w:numId w:val="13"/>
              </w:numPr>
            </w:pPr>
            <w:r>
              <w:rPr/>
              <w:t xml:space="preserve">krijt (vet en droog)</w:t>
            </w:r>
          </w:p>
          <w:p>
            <w:pPr>
              <w:pStyle w:val="ListParagraph"/>
              <w:numPr>
                <w:ilvl w:val="0"/>
                <w:numId w:val="13"/>
              </w:numPr>
            </w:pPr>
            <w:r>
              <w:rPr/>
              <w:t xml:space="preserve">houtskool</w:t>
            </w:r>
          </w:p>
          <w:p>
            <w:pPr>
              <w:pStyle w:val="ListParagraph"/>
              <w:numPr>
                <w:ilvl w:val="0"/>
                <w:numId w:val="13"/>
              </w:numPr>
            </w:pPr>
            <w:r>
              <w:rPr/>
              <w:t xml:space="preserve">pen</w:t>
            </w:r>
          </w:p>
          <w:p>
            <w:pPr>
              <w:pStyle w:val="ListParagraph"/>
              <w:numPr>
                <w:ilvl w:val="0"/>
                <w:numId w:val="13"/>
              </w:numPr>
            </w:pPr>
            <w:r>
              <w:rPr/>
              <w:t xml:space="preserve">inkt</w:t>
            </w:r>
          </w:p>
          <w:p>
            <w:pPr>
              <w:pStyle w:val="ListParagraph"/>
              <w:numPr>
                <w:ilvl w:val="0"/>
                <w:numId w:val="13"/>
              </w:numPr>
            </w:pPr>
            <w:r>
              <w:rPr/>
              <w:t xml:space="preserve">penselen</w:t>
            </w:r>
          </w:p>
          <w:p>
            <w:pPr>
              <w:pStyle w:val="ListParagraph"/>
              <w:numPr>
                <w:ilvl w:val="0"/>
                <w:numId w:val="13"/>
              </w:numPr>
            </w:pPr>
            <w:r>
              <w:rPr/>
              <w:t xml:space="preserve">borstels</w:t>
            </w:r>
          </w:p>
          <w:p>
            <w:pPr>
              <w:pStyle w:val="ListParagraph"/>
              <w:numPr>
                <w:ilvl w:val="0"/>
                <w:numId w:val="13"/>
              </w:numPr>
            </w:pPr>
            <w:r>
              <w:rPr/>
              <w:t xml:space="preserve">verven (aquarel, acryl, gouache,...)</w:t>
            </w:r>
          </w:p>
          <w:p>
            <w:pPr>
              <w:pStyle w:val="ListParagraph"/>
              <w:numPr>
                <w:ilvl w:val="0"/>
                <w:numId w:val="13"/>
              </w:numPr>
            </w:pPr>
            <w:r>
              <w:rPr/>
              <w:t xml:space="preserve">papier (tekenkarton, linnen, hout,...) </w:t>
            </w:r>
          </w:p>
          <w:p>
            <w:pPr>
              <w:pStyle w:val="ListParagraph"/>
              <w:numPr>
                <w:ilvl w:val="0"/>
                <w:numId w:val="13"/>
              </w:numPr>
            </w:pPr>
            <w:r>
              <w:rPr/>
              <w:t xml:space="preserve">soorten dragers en hun texturen, formaten</w:t>
            </w:r>
          </w:p>
          <w:p>
            <w:pPr>
              <w:pStyle w:val="ListParagraph"/>
              <w:numPr>
                <w:ilvl w:val="0"/>
                <w:numId w:val="13"/>
              </w:numPr>
            </w:pPr>
            <w:r>
              <w:rPr/>
              <w:t xml:space="preserve">grafische computerhardware (ICT)</w:t>
            </w:r>
          </w:p>
          <w:p>
            <w:pPr>
              <w:pStyle w:val="ListParagraph"/>
              <w:numPr>
                <w:ilvl w:val="0"/>
                <w:numId w:val="13"/>
              </w:numPr>
            </w:pPr>
            <w:r>
              <w:rPr/>
              <w:t xml:space="preserve">alle andere materialen die visuele twee- en/of driedimensionale sporen kunnen bevatten (bijvoorbeeld hout, metaal, zand, lucht, …)</w:t>
            </w:r>
          </w:p>
          <w:p>
            <w:pPr>
              <w:pStyle w:val="ListParagraph"/>
              <w:numPr>
                <w:ilvl w:val="0"/>
                <w:numId w:val="13"/>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beeldende techniek in al zijn facetten (potlood, pastel, krijt, houtskool, pen, inkt, …) herkennen, toelichten, analyseren, zelfstandig onderzoeken en mee experimenteren bij het ontwikkelen van persoonlijkheid, creativiteit en expressiviteit</w:t>
              <w:br/>
              <w:t xml:space="preserve"/>
              <w:br/>
              <w:t xml:space="preserve"> </w:t>
              <w:br/>
              <w:t xml:space="preserve"/>
              <w:br/>
              <w:t xml:space="preserve">het begrip beeldende techniek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concludering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w:t>
        <w:br/>
        <w:t xml:space="preserve"/>
        <w:br/>
        <w:t xml:space="preserve">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(persoonlijke) beeldtaal ontwikkelen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vertrouwen in je eigen (artistiek) parcours/proces en je eigen mogelijkheden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een eigen (artistieke) visie ontwikkelen rond de waargenomen, onderzochte en verbeelde ruimtelijke dimensies op basis van kennis, intuïtie, waarnemingen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een werkplan opmaken, bewaken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probleemoplossend denken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problemen oplossen via  hulpmiddelen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reflectie over je eigen werk en dat van anderen beschrijven, toelichten en gebruiken bij de ontwikkeling van je creatief leerproces en je artistieke ontwerpen/creaties</w:t>
              <w:br/>
              <w:t xml:space="preserve"/>
              <w:br/>
              <w:t xml:space="preserve">systematisch je eigen werk/handelingen en dat van anderen analyseren, onderzoeken en  een duidelijk beeld over je eigen kwaliteiten en beperkingen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intuïtie</w:t>
            </w:r>
          </w:p>
          <w:p>
            <w:pPr>
              <w:pStyle w:val="ListParagraph"/>
              <w:numPr>
                <w:ilvl w:val="0"/>
                <w:numId w:val="14"/>
              </w:numPr>
            </w:pPr>
            <w:r>
              <w:rPr/>
              <w:t xml:space="preserve">verbeelding</w:t>
            </w:r>
          </w:p>
          <w:p>
            <w:pPr>
              <w:pStyle w:val="ListParagraph"/>
              <w:numPr>
                <w:ilvl w:val="0"/>
                <w:numId w:val="14"/>
              </w:numPr>
            </w:pPr>
            <w:r>
              <w:rPr/>
              <w:t xml:space="preserve">ervaring</w:t>
            </w:r>
          </w:p>
          <w:p>
            <w:pPr>
              <w:pStyle w:val="ListParagraph"/>
              <w:numPr>
                <w:ilvl w:val="0"/>
                <w:numId w:val="14"/>
              </w:numPr>
            </w:pPr>
            <w:r>
              <w:rPr/>
              <w:t xml:space="preserve">emoties </w:t>
            </w:r>
          </w:p>
          <w:p>
            <w:pPr>
              <w:pStyle w:val="ListParagraph"/>
              <w:numPr>
                <w:ilvl w:val="0"/>
                <w:numId w:val="14"/>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toelichten, analyseren, onderzoeken en gebruiken in je artistieke ontwerpen/creaties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5"/>
              </w:numPr>
            </w:pPr>
            <w:r>
              <w:rPr/>
              <w:t xml:space="preserve">het onverwachte</w:t>
            </w:r>
          </w:p>
          <w:p>
            <w:pPr>
              <w:pStyle w:val="ListParagraph"/>
              <w:numPr>
                <w:ilvl w:val="0"/>
                <w:numId w:val="15"/>
              </w:numPr>
            </w:pPr>
            <w:r>
              <w:rPr/>
              <w:t xml:space="preserve">het toevallige </w:t>
            </w:r>
          </w:p>
          <w:p>
            <w:pPr>
              <w:pStyle w:val="ListParagraph"/>
              <w:numPr>
                <w:ilvl w:val="0"/>
                <w:numId w:val="15"/>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confrontatie met het onverwachte, het toevallige, het onbekende herkennen, toelichten en hierbij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presentatie(voorstelling)technieken</w:t>
            </w:r>
          </w:p>
          <w:p>
            <w:pPr>
              <w:pStyle w:val="ListParagraph"/>
              <w:numPr>
                <w:ilvl w:val="0"/>
                <w:numId w:val="16"/>
              </w:numPr>
            </w:pPr>
            <w:r>
              <w:rPr/>
              <w:t xml:space="preserve">verbaal</w:t>
            </w:r>
          </w:p>
          <w:p>
            <w:pPr>
              <w:pStyle w:val="ListParagraph"/>
              <w:numPr>
                <w:ilvl w:val="0"/>
                <w:numId w:val="16"/>
              </w:numPr>
            </w:pPr>
            <w:r>
              <w:rPr/>
              <w:t xml:space="preserve">driedimensionale voorstelling (schetsen, schaaltekening, …)</w:t>
            </w:r>
          </w:p>
          <w:p>
            <w:pPr>
              <w:pStyle w:val="ListParagraph"/>
              <w:numPr>
                <w:ilvl w:val="0"/>
                <w:numId w:val="16"/>
              </w:numPr>
            </w:pPr>
            <w:r>
              <w:rPr/>
              <w:t xml:space="preserve">digitaal</w:t>
            </w:r>
          </w:p>
          <w:p>
            <w:pPr>
              <w:pStyle w:val="ListParagraph"/>
              <w:numPr>
                <w:ilvl w:val="0"/>
                <w:numId w:val="16"/>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presentatie(voorstelling)technieken in al zijn facetten (verbaal, driedimensionale voorstelling, digitaal, …)herkennen,  beschrijven en toelichten</w:t>
              <w:br/>
              <w:t xml:space="preserve"/>
              <w:br/>
              <w:t xml:space="preserve">de presentatie/voorstelling van het werk op een creatieve manier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vak praktijk Waarnemingstekenen 3kso is opgebouwd uit een toonmoment en een examen. </w:t>
      </w:r>
    </w:p>
    <w:p>
      <w:pPr>
        <w:jc w:val="both"/>
      </w:pPr>
      <w:r>
        <w:t xml:space="preserve">Er zijn twee evaluatiemomenten voor dit vak: een toonmoment en een examen.</w:t>
        <w:br/>
        <w:t>Opgelet!! Je dient eerst het toonmoment af te leggen en hiervoor te slagen alvorens je je kan inschrijven voor het examen praktijk Waarnemingstekenen 3kso.</w:t>
        <w:br/>
        <w:t>Je moet het toonmoment en het examen op dezelfde examenlocatie afleggen!</w:t>
        <w:br/>
        <w:t>Je schrijft je zelf in voor het toonmoment en indien je geslaagd bent, schrijven wij jou in voor het examen.</w:t>
        <w:br/>
        <w:t/>
      </w:r>
      <w:r w:rsidRPr="003E4776">
        <w:t/>
      </w:r>
    </w:p>
    <w:p w14:paraId="5B5E3ED3" w14:textId="0FE7D0D3" w:rsidR="0076163F" w:rsidRDefault="0076163F" w:rsidP="0076163F">
      <w:r w:rsidRPr="003E4776">
        <w:t/>
      </w:r>
      <w:r>
        <w:t>Opdrachten toonmoment en examen praktijk Waarnemingstekenen 3kso.pdf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16-01-2021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Waarnemingstekenen 3kso is opgebouwd uit een toonmoment en een examen.  Je moet beide onderdelen afleggen om te kunnen slagen voor dit vak! </w:t>
      </w:r>
    </w:p>
    <w:p>
      <w:pPr>
        <w:jc w:val="both"/>
      </w:pPr>
      <w:r>
        <w:t xml:space="preserve">Je moet eerst het toonmoment praktijk Waarnemingstekenen 3kso afleggen en hiervoor slagen alvorens te kunnen inschrijven voor het examen praktijk Waarnemingstekenen 3kso.</w:t>
      </w:r>
    </w:p>
    <w:p>
      <w:pPr>
        <w:jc w:val="both"/>
      </w:pPr>
      <w:r>
        <w:t xml:space="preserve">Op het platform staan de tijdstippen van de toonmomenten en examens vermeld.</w:t>
      </w:r>
    </w:p>
    <w:p>
      <w:pPr>
        <w:jc w:val="both"/>
      </w:pPr>
      <w:r>
        <w:t xml:space="preserve">Je moet het toonmoment en het examen op dezelfde examenlocatie afleggen!</w:t>
      </w:r>
    </w:p>
    <w:p>
      <w:pPr>
        <w:jc w:val="both"/>
      </w:pPr>
      <w:r>
        <w:t xml:space="preserve"/>
      </w:r>
    </w:p>
    <w:p>
      <w:pPr>
        <w:jc w:val="both"/>
      </w:pPr>
      <w:r>
        <w:t xml:space="preserve">De deelopdrachten bij het toonmoment maak je thuis. Afhankelijk van de opdracht kan het zijn dat je ook ter plaatse op de examenlocatie een onderdeel van deze opdracht dient uit te werken.</w:t>
      </w:r>
    </w:p>
    <w:p>
      <w:pPr>
        <w:jc w:val="both"/>
      </w:pPr>
      <w:r>
        <w:t xml:space="preserve">De examenopdracht werk je ter plaatse uit op de examenlocatie zelf.</w:t>
      </w:r>
    </w:p>
    <w:p>
      <w:pPr>
        <w:jc w:val="both"/>
      </w:pPr>
      <w:r>
        <w:t xml:space="preserve">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het toonmoment krijg je feedback op je geleverde werk met als doel je proces en je product zelfstandig te kunnen bijsturen.</w:t>
      </w:r>
    </w:p>
    <w:p>
      <w:pPr>
        <w:jc w:val="both"/>
      </w:pPr>
      <w:r>
        <w:t xml:space="preserve"/>
      </w:r>
    </w:p>
    <w:p>
      <w:pPr>
        <w:jc w:val="both"/>
      </w:pPr>
      <w:r>
        <w:t xml:space="preserve">Tijdens de evaluatiemomenten wordt rekening gehouden met de evaluatiecriteria weergegeven in de opdrachten.</w:t>
      </w:r>
    </w:p>
    <w:p>
      <w:pPr>
        <w:jc w:val="both"/>
      </w:pPr>
      <w:r>
        <w:t xml:space="preserve"/>
      </w:r>
    </w:p>
    <w:p>
      <w:pPr>
        <w:jc w:val="both"/>
      </w:pPr>
      <w:r>
        <w:t xml:space="preserve">Je meldt je stipt aan op het toonmoment en het examenmoment conform het examenreglement van de Examencommissie. De examenlocatie wordt vermeld op het platform bij het toonmoment of het examen waarvoor je bent ingeschreven.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opdracht. Je brengt zelf al het nodige materiaal mee naar het toonmoment en het examen. Dit materiaal wordt duidelijk weergegeven in de verschillende opdrachten.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Examencommissie voorziet geen materiaal en leent geen materiaal uit.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Er worden bijvoorbeeld vragen gesteld over de perspectief-regels naar waarneming, licht, diepte, schaduw, materialenleer en toepassingen,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Het examen wordt onder andere beoordeeld op technische vaardigheden: perspectief-regels naar waarneming, toepassen van licht, diepte en schaduw in het tekenwerk, het gebruik van materialen en de bladschikking, ...</w:t>
      </w:r>
    </w:p>
    <w:p>
      <w:pPr>
        <w:jc w:val="both"/>
      </w:pPr>
      <w:r>
        <w:t xml:space="preserve"/>
      </w:r>
    </w:p>
    <w:p>
      <w:pPr>
        <w:jc w:val="both"/>
      </w:pPr>
      <w:r>
        <w:t xml:space="preserve">Je moet eerst het toonmoment praktijk Waarnemingstekenen 3kso afleggen en hiervoor slagen alvorens te kunnen inschrijven voor het examen praktijk Waarnemingstekenen 3kso.</w:t>
      </w:r>
    </w:p>
    <w:p>
      <w:pPr>
        <w:jc w:val="both"/>
      </w:pPr>
      <w:r>
        <w:t xml:space="preserve"/>
      </w:r>
    </w:p>
    <w:p>
      <w:pPr>
        <w:jc w:val="both"/>
      </w:pPr>
      <w:r>
        <w:t xml:space="preserve">Voor het toonmoment en het examen worden geen punten weergegeven. Je krijgt enkel het resultaat geslaagd (groen vinkje) of niet geslaagd (rood kruisje). </w:t>
      </w:r>
    </w:p>
    <w:p>
      <w:pPr>
        <w:jc w:val="both"/>
      </w:pPr>
      <w:r>
        <w:t xml:space="preserve"/>
      </w:r>
    </w:p>
    <w:p>
      <w:pPr>
        <w:jc w:val="both"/>
      </w:pPr>
      <w:r>
        <w:t xml:space="preserve">Je bent geslaagd voor het toonmoment praktijk Waarnemingstekenen indien je minstens 50% behaalt op het totaal van de evaluatiecriteria gekoppeld aan de opdrachten van het toonmoment.</w:t>
      </w:r>
    </w:p>
    <w:p>
      <w:pPr>
        <w:jc w:val="both"/>
      </w:pPr>
      <w:r>
        <w:t xml:space="preserve">Ben je niet geslaagd, word je niet toegelaten tot het examen praktijk Waarnemingstekenen 3kso en moet je het toonmoment opnieuw afleggen. </w:t>
      </w:r>
    </w:p>
    <w:p>
      <w:pPr>
        <w:jc w:val="both"/>
      </w:pPr>
      <w:r>
        <w:t xml:space="preserve"/>
      </w:r>
    </w:p>
    <w:p>
      <w:pPr>
        <w:jc w:val="both"/>
      </w:pPr>
      <w:r>
        <w:t xml:space="preserve">Ben je geslaagd voor het toonmoment praktijk Waarnemingstekenen 3kso kan je je inschrijven voor het examen praktijk Waarnemingstekenen 3kso.</w:t>
      </w:r>
    </w:p>
    <w:p>
      <w:pPr>
        <w:jc w:val="both"/>
      </w:pPr>
      <w:r>
        <w:t xml:space="preserve"/>
      </w:r>
    </w:p>
    <w:p>
      <w:pPr>
        <w:jc w:val="both"/>
      </w:pPr>
      <w:r>
        <w:t xml:space="preserve">Je bent geslaagd voor het examen praktijk Waarnemingstekenen indien je minstens 50% behaalt op het totaal van de evaluatiecriteria gekoppeld aan de opdrachten van het examen.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praktijk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Geslaagd (groen vinkje)  of niet geslaagd (rood kruisje)</w:t>
              <w:br/>
              <w:t xml:space="preserve"/>
              <w:br/>
              <w:t xml:space="preserve">(om te slagen,  moet je minstens 50% behalen op het totaal van de evaluatiecriteria gekoppeld aan de opdrachten van het toonmoment)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praktijk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Je kan pas inschrijven en deelnemen aan het examen praktijk Waarnemingstekenen 3kso indien je geslaagd bent voor het toonmoment praktijk Waarnemingstekenen 3kso.</w:t>
              <w:br/>
              <w:t xml:space="preserve"/>
              <w:br/>
              <w:t xml:space="preserve"> </w:t>
              <w:br/>
              <w:t xml:space="preserve"/>
              <w:br/>
              <w:t xml:space="preserve">Geslaagd (groen vinkje) of niet geslaagd (rood kruisje)</w:t>
              <w:br/>
              <w:t xml:space="preserve"/>
              <w:br/>
              <w:t xml:space="preserve">(om te slagen,  moet je minstens 50% behalen op het totaal van de evaluatiecriteria gekoppeld aan de opdrachten van het examen)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 </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Chaet, B.,  Harcourt Brace Jovanovich College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0-03062028-7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DESIGN–DRAWING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Ching, F. D.K., Juroszek, S. P., Van Nostrand Reinhold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0-442-01909-2</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 2006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w:t>
              <w:br/>
              <w:t xml:space="preserve"/>
              <w:br/>
              <w:t xml:space="preserve">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 –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9021300559,</w:t>
              <w:br/>
              <w:t xml:space="preserve"/>
              <w:br/>
              <w:t xml:space="preserve">ISBN 9789021300559</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MENSELIJKE MAAT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Haak A.J.H.,  De Vrije Uitgevers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9789040725678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KLEURPOTLODEN,</w:t>
              <w:br/>
              <w:t xml:space="preserve"/>
              <w:br/>
              <w:t xml:space="preserve">Adviezen voor materiaal en techniek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Hutton-Jamieson,  Veenendaal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9060176383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HART VOOR ARCHITECTUUR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Nelissen, N., Uitgeverij Lambo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9789080785724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HAND - SCHETSVAARDIGHEDEN IN DE BOUWKUNDESTUDIE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Haaften A., Publikatieburo Bouwkunde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9789052692388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109461300506,</w:t>
              <w:br/>
              <w:t xml:space="preserve"/>
              <w:br/>
              <w:t xml:space="preserve">ISBN 139789461300508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Uitgever</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7"/>
              </w:numPr>
            </w:pPr>
            <w:r>
              <w:rPr/>
              <w:t xml:space="preserve">FRAME (interieur, design en toegepaste kunst)</w:t>
            </w:r>
          </w:p>
          <w:p>
            <w:pPr>
              <w:pStyle w:val="ListParagraph"/>
              <w:numPr>
                <w:ilvl w:val="0"/>
                <w:numId w:val="17"/>
              </w:numPr>
            </w:pPr>
            <w:r>
              <w:rPr/>
              <w:t xml:space="preserve">MARK (interieur en architectuur)</w:t>
            </w:r>
          </w:p>
          <w:p>
            <w:pPr>
              <w:pStyle w:val="ListParagraph"/>
              <w:numPr>
                <w:ilvl w:val="0"/>
                <w:numId w:val="17"/>
              </w:numPr>
            </w:pPr>
            <w:r>
              <w:rPr/>
              <w:t xml:space="preserve">ELEPHANT (vrije beeldende kunsten)</w:t>
            </w:r>
          </w:p>
          <w:p>
            <w:r>
              <w:rP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Kunstschrift.(Werken rond thema’s), een tweemaandelijks kunsttijdschrift.</w:t>
              <w:b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Postbus 10859, 1001 EW Amsterdam.</w:t>
              <w:br/>
              <w:t xml:space="preserve"/>
              <w:br/>
              <w:t xml:space="preserve">- 020-625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