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algemene economie </w:t>
      </w:r>
      <w:r>
        <w:rPr/>
        <w:t xml:space="preserve">is een childvak van het vak economie, samen met het vak bedrijfseconomie.</w:t>
        <w:br/>
        <w:t xml:space="preserve"/>
        <w:br/>
        <w:t xml:space="preserve">Voor dit vak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 (werkgevers- en werknemerssurplus)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br/>
              <w:t xml:space="preserve"/>
              <w:br/>
              <w:t xml:space="preserve">werkgevers- en werknemerssurplus en welvaartverlies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br/>
              <w:t xml:space="preserve"/>
              <w:br/>
              <w:t xml:space="preserve">werkgevers- en werknemerssurplus en welvaartverlies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r>
          </w:p>
          <w:p>
            <w:pPr>
              <w:pStyle w:val="ListParagraph"/>
              <w:numPr>
                <w:ilvl w:val="0"/>
                <w:numId w:val="30"/>
              </w:numPr>
            </w:pPr>
            <w:r>
              <w:rPr/>
              <w:t xml:space="preserve">nieuwe soorten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 of protectionisme</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wegwerken van onderbesteding en overbesteding</w:t>
              <w:br/>
              <w:t xml:space="preserve">het bevorderen van de tewerkstelling en het scholen van de beroepsbevolking</w:t>
              <w:br/>
              <w:t xml:space="preserve">het ondersteunen van onderzoek en ontwikkeling</w:t>
              <w:br/>
              <w:t xml:space="preserve">het zorgen voor goede overheidsinstellingen en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het onderscheid tussen conjuncturele en structurele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het onderscheid tussen conjuncturele en structurele ontwikkeling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br/>
              <w:t xml:space="preserve">overbesteding en onderbesteding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br/>
              <w:t xml:space="preserve">de begrippen overbesteding en onderbesteding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economie.pdf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