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6.2</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hier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Wiskunde heeft ook zijn sporen nagelaten in culturele, historische en wetenschappelijke evoluties. Leer die herkennen en de mogelijkheden en beperkingen te waarderen.</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 </w:t>
        <w:br/>
        <w:t xml:space="preserve"/>
        <w:br/>
        <w:t xml:space="preserve">Voor dit vak werk je aan je onderzoekscompetenties. Hierdoor kan je je onderzoeksvaardigheden oefenen, zowel in functie van levenslang leren als ter voorbereiding op de bachelor- en masterproeven in het hoger onderwijs. Je leert hypotheses of vragen formuleren, analyseren, argumenteren, bewijzen en  rapporteren. Tenslotte leer je kritisch reflecteren op je denken en handelen. </w:t>
        <w:br/>
        <w:t xml:space="preserve"/>
        <w:br/>
        <w:t xml:space="preserve">Werken aan je onderzoeksvaardigheden helpt je om verbanden te leggen binnen het vak, met andere vakken en bij levensechte situaties en problemen uit de maatschappij.</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Ruimtemeetkunde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Discrete wiskunde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 en kansrekening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hierbij nauwkeurig en consequent. De manier waarop je een resultaat bereikt is immers even belangrijk als het antwoord zelf. We houden daar rekening mee bij het toekennen van de punten.</w:t>
        <w:br/>
        <w:t xml:space="preserve"/>
        <w:br/>
        <w:t xml:space="preserve">3.     De laatste jaren heeft de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gebruik je verantwoord ICT. Oefen dan ook voldoende en leer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Complexe getallen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voorstellingswijzen van een complex getal</w:t>
            </w:r>
          </w:p>
          <w:p>
            <w:pPr>
              <w:pStyle w:val="ListParagraph"/>
              <w:numPr>
                <w:ilvl w:val="0"/>
                <w:numId w:val="8"/>
              </w:numPr>
            </w:pPr>
            <w:r>
              <w:rPr/>
              <w:t xml:space="preserve">notatie: als koppel reële getallen, a + bi met i² = -1, de goniometrische vorm van een complex getal</w:t>
            </w:r>
          </w:p>
          <w:p>
            <w:pPr>
              <w:pStyle w:val="ListParagraph"/>
              <w:numPr>
                <w:ilvl w:val="0"/>
                <w:numId w:val="8"/>
              </w:numPr>
            </w:pPr>
            <w:r>
              <w:rPr/>
              <w:t xml:space="preserve">grafische voorstelling in het vlak van Gauss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voorstellingswijzen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modulus en het argument van een complex getal: de waarde en meetkundige betekenis</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 voorstelling in het vlak van Gauss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goniometrische vorm opstellen</w:t>
              <w:br/>
              <w:t xml:space="preserve"/>
              <w:br/>
              <w:t xml:space="preserve">deze begrippen zonder hulp van ICT berekenen</w:t>
              <w:br/>
              <w:t xml:space="preserve"/>
              <w:br/>
              <w:t xml:space="preserve">deze begrippen met behulp van ICT berekenen</w:t>
              <w:br/>
              <w:t xml:space="preserve"/>
              <w:br/>
              <w:t xml:space="preserve">de goniometrische vorm omvormen naar de vorm a + bi</w:t>
              <w:br/>
              <w:t xml:space="preserve"/>
              <w:br/>
              <w:t xml:space="preserve"> </w:t>
              <w:br/>
              <w:t xml:space="preserve"/>
              <w:br/>
              <w:t xml:space="preserve">deze begrippen herkennen uit een meetkundige voorstelling en omgekeerd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bewerkingen met complexe getallen in de vorm a + bi: complex toegevoegde, optellen, aftrekken, vermenigvuldigen, delen en machtsverheffing</w:t>
              <w:br/>
              <w:t xml:space="preserve"/>
              <w:br/>
              <w:t xml:space="preserve">de bewerkingen met complexe getallen in de goniometrische vorm: vermenigvuldigen, delen en machtsverheffing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met ICT uitvoeren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formule van de Moivre: de machtsverheffing</w:t>
              <w:br/>
              <w:t xml:space="preserve"/>
              <w:br/>
              <w:t xml:space="preserve">de n-de machtswortels uit een complex getal met n ≥ 2</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 toepassen op de machtsverheffing</w:t>
              <w:br/>
              <w:t xml:space="preserve"/>
              <w:br/>
              <w:t xml:space="preserve">deze bewerking manueel uitvoeren</w:t>
              <w:br/>
              <w:t xml:space="preserve"/>
              <w:br/>
              <w:t xml:space="preserve">deze bewerking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vierkantsvergelijkingen in één complexe onbekende met reële en/of complexe coëfficiënten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manueel oplossen</w:t>
              <w:br/>
              <w:t xml:space="preserve"/>
              <w:br/>
              <w:t xml:space="preserve">deze vergelijkingen met behulp van ICT oplossen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Matrixrekening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bewerkingen met matrices: de som en het verschil van matrices, een matrix vermenigvuldigen met een reëel getal, een matrix transponeren, matrices vermenigvuldigen, machten van matrices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bewerkingen manueel uitvoeren</w:t>
              <w:br/>
              <w:t xml:space="preserve"/>
              <w:br/>
              <w:t xml:space="preserve">deze bewerkingen uitvoeren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 x n–stelsels van de eerste graad: methode van Gauss-Jordan (matrix omvormen naar rijcanonieke vorm)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stelsels met behulp van ICT oplossen</w:t>
              <w:br/>
              <w:t xml:space="preserve"/>
              <w:br/>
              <w:t xml:space="preserve">vraagstukken, die te herleiden zijn tot een m x n–stelsel van de eerste graad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 matrixvermenigvuldiging zoals de evolutie van blokken gegevens: het koopgedrag bij een groep consumenten (Markovketens), een populatie dieren (Lesliematrices), het migratiepatroon van de bevolking in een bepaalde regio (migratiematrices), het aantal wegen tussen bepaalde grootsteden (verbindingsmatrices),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deze blokken gegevens met behulp van matrixrekenen oplossen</w:t>
              <w:br/>
              <w:t xml:space="preserve"/>
              <w:br/>
              <w:t xml:space="preserve">een evenwichtstoestand bepalen met behulp vanICT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Ruimtemeetkunde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driedimensionale vectorruimte: vectoren en coördinaatgetallen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vectoren en coördinaatgetallen gebruiken voor het bepalen van de ligging van punten, rechten en vlakken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reële vectorruimte</w:t>
              <w:br/>
              <w:t xml:space="preserve"/>
              <w:br/>
              <w:t xml:space="preserve">bewerkingen met vectoren: de som, de scalaire vermenigvuldiging, het scalair 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herkennen</w:t>
              <w:br/>
              <w:t xml:space="preserve"/>
              <w:br/>
              <w:t xml:space="preserve">deze bewerkingen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vergelijkingen van rechten: vectoriële vergelijking, parametervergelijkingen, cartesische vergelijkingen</w:t>
              <w:br/>
              <w:t xml:space="preserve"/>
              <w:br/>
              <w:t xml:space="preserve">vergelijkingen van vlakken: vectoriële vergelijking, parametervergelijkingen, cartesische vergelijking</w:t>
              <w:br/>
              <w:t xml:space="preserve"/>
              <w:br/>
              <w:t xml:space="preserve">3x3 of 4x4 determinant en de cartesische vergelijking van een 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opstellen</w:t>
              <w:br/>
              <w:t xml:space="preserve"/>
              <w:br/>
              <w:t xml:space="preserve">deze vergelijkingen onderling omvormen</w:t>
              <w:br/>
              <w:t xml:space="preserve"/>
              <w:br/>
              <w:t xml:space="preserve"/>
              <w:br/>
              <w:t xml:space="preserve"/>
              <w:br/>
              <w:t xml:space="preserve"/>
              <w:br/>
              <w:t xml:space="preserve">deze determinanten manueel berekenen om de cartesische vergelijking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onderlinge ligging van rechten: evenwijdig samenvallend, evenwijdig niet samenvallend, snijdend en kruisend</w:t>
              <w:br/>
              <w:t xml:space="preserve"/>
              <w:br/>
              <w:t xml:space="preserve">onderlinge ligging van een rechte en een vlak: behorend tot het vlak, evenwijdig niet behorend tot het vlak, snijdend</w:t>
              <w:br/>
              <w:t xml:space="preserve"/>
              <w:br/>
              <w:t xml:space="preserve">onderlinge ligging van twee vlakken: evenwijdig samenvallend, evenwijdig niet samenvallend, snijdend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onderlinge ligging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loodrechte stand in een orthonormale basis: rechten onderling, een rechte en een vlak, vlakken onderling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loodrechte stand onderzoeken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tussen punten, tussen een punt en een rechte, tussen een punt en een vlak, tussen twee rechten, tussen een rechte en een vlak, tussen twee vlakken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afstanden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meetkundige begrippen zoals: de loodlijn op een vlak, het loodvlak op een rechte, het middelloodvlak van een lijnstuk, de hoek tussen rechten en/of vlakken, afstanden, zwaartelijnen, zwaartepunt,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bijhorende vergelijkingen opstellen</w:t>
              <w:br/>
              <w:t xml:space="preserve"/>
              <w:br/>
              <w:t xml:space="preserve">meetkundige problemen schetsen</w:t>
              <w:br/>
              <w:t xml:space="preserve"/>
              <w:br/>
              <w:t xml:space="preserve">meetkundige problemen oplossen</w:t>
              <w:br/>
              <w:t xml:space="preserve"/>
              <w:br/>
              <w:t xml:space="preserve">deze begrippen manueel en met behulp van ICT berekenen en onderzoeken in ruimtefiguren zoals balk, kubus, prisma, piramide, kegel, tetraëder en parallellepipedum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Discrete wiskunde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variaties, herhalingsvariaties, permutaties, herhalingspermutaties, combinaties, herhalingscombinaties</w:t>
              <w:br/>
              <w:t xml:space="preserve"/>
              <w:br/>
              <w:t xml:space="preserve">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deze formules noteren</w:t>
              <w:br/>
              <w:t xml:space="preserve"/>
              <w:br/>
              <w:t xml:space="preserve">deze begrippen toepassen bij telproblemen</w:t>
              <w:br/>
              <w:t xml:space="preserve"/>
              <w:br/>
              <w:t xml:space="preserve">deze bewerkingen met behulp van ICT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convergentie en divergentie van rijen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convergentie en divergentie van rijen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binomium van Newton toepassen: berekenen van de macht van de som van twee grootheden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 en kansrekening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Statistiek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variabelen: kwalitatief (nominaal en ordinaal), kwantitatief (continu en discreet)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color w:val="000000"/>
              </w:rPr>
              <w:t xml:space="preserve">de soorten variabelen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symmetrische en een niet-symmetrische verdeling herkennen in een histogram en een frequentiepolygoon van relatieve frequenties</w:t>
              <w:br/>
              <w:t xml:space="preserve"/>
              <w:br/>
              <w:t xml:space="preserve">in betekenisvolle situaties de normaalverdeling hanteren als benadering van discrete gegevens</w:t>
              <w:br/>
              <w:t xml:space="preserve"/>
              <w:br/>
              <w:t xml:space="preserve">de klokcurve van Gauss tekenen met behulp van ICT</w:t>
              <w:br/>
              <w:t xml:space="preserve"/>
              <w:br/>
              <w:t xml:space="preserve">de klokcurve van Gauss herkennen als een normaalverdeling van gegevens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een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gemiddelde en de standaardafwijking aanduiden op een grafische voorstelling van een normaalverdeling en deze interpreteren</w:t>
              <w:br/>
              <w:t xml:space="preserve"/>
              <w:br/>
              <w:t xml:space="preserve">het gemiddelde en de standaardafwijking berekenen met behulp van ICT</w:t>
              <w:br/>
              <w:t xml:space="preserve"/>
              <w:br/>
              <w:t xml:space="preserve">uit de berekening van de standaardafwijking de juiste waarde kiezen voor de steekproef of de populatie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standaardnormaalverdeling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standaardnormaalverdeling herkennen als een klokcurve met µ = 0 en  σ = 1 </w:t>
              <w:br/>
              <w:t xml:space="preserve"/>
              <w:br/>
              <w:t xml:space="preserve">het verband leggen tussen de normaalverdeling en de standaardnormaalverdeling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relatieve frequentie en kans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relatieve frequentie tussen twee waarden en de oppervlakte onder de normaalcurve tussen twee grenzen</w:t>
              <w:br/>
              <w:t xml:space="preserve"/>
              <w:br/>
              <w:t xml:space="preserve">het verband leggen tussen de relatieve frequentie en de kans dat een waarde voorkomt in een gegeven interval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kansrekening met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ICT de relatieve frequentie of kans berekenen tussen twee gegeven waarden, waarden kleiner of groter dan een gegeven grens</w:t>
              <w:br/>
              <w:t xml:space="preserve"/>
              <w:br/>
              <w:t xml:space="preserve">met behulp van ICT de waarde van de variabele berekenen bij een gegeven relatieve frequentie of kans</w:t>
              <w:br/>
              <w:t xml:space="preserve"/>
              <w:br/>
              <w:t xml:space="preserve">vraagstukken rond het berekenen van kans en/of relatieve frequentie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 – 95 – 99,7% 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waarden σ, 2σ, 3σ interpreteren naar oppervlakten en percentage onder de klokcurve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z-scores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scores berekenen en interpreteren</w:t>
              <w:br/>
              <w:t xml:space="preserve"/>
              <w:br/>
              <w:t xml:space="preserve">verschillende statistische gegevens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Kansrekening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kansbomen</w:t>
              <w:br/>
              <w:t xml:space="preserve"/>
              <w:br/>
              <w:t xml:space="preserve">kansen</w:t>
              <w:br/>
              <w:t xml:space="preserve"/>
              <w:br/>
              <w:t xml:space="preserve">de regel van Laplace, de som - , product – en complementregel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bomen opstellen</w:t>
              <w:br/>
              <w:t xml:space="preserve"/>
              <w:br/>
              <w:t xml:space="preserve">kansen berekenen met behulp van tellen, kansbomen en tabellen</w:t>
              <w:br/>
              <w:t xml:space="preserve"/>
              <w:br/>
              <w:t xml:space="preserve">deze regels toepassen voor het berekenen van kansen</w:t>
              <w:br/>
              <w:t xml:space="preserve"/>
              <w:br/>
              <w:t xml:space="preserve">vraagstukken, die te herleiden zijn naar het berekenen van kansen,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voorwaardelijke kans</w:t>
              <w:br/>
              <w:t xml:space="preserve"/>
              <w:br/>
              <w:t xml:space="preserve"/>
              <w:br/>
              <w:t xml:space="preserve"/>
              <w:br/>
              <w:t xml:space="preserve"/>
              <w:br/>
              <w:t xml:space="preserve">de regel van Bayes</w:t>
              <w:br/>
              <w:t xml:space="preserve"/>
              <w:br/>
              <w:t xml:space="preserve"/>
              <w:br/>
              <w:t xml:space="preserve"/>
              <w:br/>
              <w:t xml:space="preserve"/>
              <w:br/>
              <w:t xml:space="preserve">afhankelijke en onafhankelijke gebeurtenissen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kans noteren en berekenen</w:t>
              <w:br/>
              <w:t xml:space="preserve"/>
              <w:br/>
              <w:t xml:space="preserve">deze regel toepassen om voorwaardelijke kansen te berekenen</w:t>
              <w:br/>
              <w:t xml:space="preserve"/>
              <w:br/>
              <w:t xml:space="preserve">de afhankelijkheid of onafhankelijkheid onderzoeken</w:t>
              <w:br/>
              <w:t xml:space="preserve"/>
              <w:br/>
              <w:t xml:space="preserve">vraagstukken, die te herleiden zijn tot voorwaardelijke kansen, oplossen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kansverdeling van een toevalsveranderlijke, verwachtingswaarde en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verdeling opstellen</w:t>
              <w:br/>
              <w:t xml:space="preserve"/>
              <w:br/>
              <w:t xml:space="preserve">deze waarden manueel berekenen</w:t>
              <w:br/>
              <w:t xml:space="preserve"/>
              <w:br/>
              <w:t xml:space="preserve">deze waarden met behulp van ICT berekenen</w:t>
              <w:br/>
              <w:t xml:space="preserve"/>
              <w:br/>
              <w:t xml:space="preserve">het verband leggen tussen verwachtingswaarde en het statistisch begrip gemiddelde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binomiaal of normaal verdeelde gegevens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onderzoeken of een experiment vertaald kan worden naar een binomiale of normale verdeling</w:t>
              <w:br/>
              <w:t xml:space="preserve"/>
              <w:br/>
              <w:t xml:space="preserve">kansen bij binomiaal verdeelde gegevens met behulp van ICT berekenen</w:t>
              <w:br/>
              <w:t xml:space="preserve"/>
              <w:br/>
              <w:t xml:space="preserve">kansen bij normaal verdeelde gegevens met behulp van ICT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oriënteren op een onderzoeksprobleem door gericht informatie</w:t>
            </w:r>
          </w:p>
          <w:p>
            <w:pPr>
              <w:pStyle w:val="ListParagraph"/>
              <w:numPr>
                <w:ilvl w:val="0"/>
                <w:numId w:val="9"/>
              </w:numPr>
            </w:pPr>
            <w:r>
              <w:rPr/>
              <w:t xml:space="preserve">te verzamelen</w:t>
            </w:r>
          </w:p>
          <w:p>
            <w:pPr>
              <w:pStyle w:val="ListParagraph"/>
              <w:numPr>
                <w:ilvl w:val="0"/>
                <w:numId w:val="9"/>
              </w:numPr>
            </w:pPr>
            <w:r>
              <w:rPr/>
              <w:t xml:space="preserve">te ordenen</w:t>
            </w:r>
          </w:p>
          <w:p>
            <w:pPr>
              <w:pStyle w:val="ListParagraph"/>
              <w:numPr>
                <w:ilvl w:val="0"/>
                <w:numId w:val="9"/>
              </w:numPr>
            </w:pPr>
            <w:r>
              <w:rPr/>
              <w:t xml:space="preserve">te bewerken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wetenschappelijke bron</w:t>
            </w:r>
          </w:p>
          <w:p>
            <w:pPr>
              <w:pStyle w:val="ListParagraph"/>
              <w:numPr>
                <w:ilvl w:val="0"/>
                <w:numId w:val="10"/>
              </w:numPr>
            </w:pPr>
            <w:r>
              <w:rPr/>
              <w:t xml:space="preserve">opzoeken</w:t>
            </w:r>
          </w:p>
          <w:p>
            <w:pPr>
              <w:pStyle w:val="ListParagraph"/>
              <w:numPr>
                <w:ilvl w:val="0"/>
                <w:numId w:val="10"/>
              </w:numPr>
            </w:pPr>
            <w:r>
              <w:rPr/>
              <w:t xml:space="preserve">raadplegen</w:t>
            </w:r>
          </w:p>
          <w:p>
            <w:pPr>
              <w:pStyle w:val="ListParagraph"/>
              <w:numPr>
                <w:ilvl w:val="0"/>
                <w:numId w:val="10"/>
              </w:numPr>
            </w:pPr>
            <w:r>
              <w:rPr/>
              <w:t xml:space="preserve">rangschikken</w:t>
            </w:r>
          </w:p>
          <w:p>
            <w:pPr>
              <w:pStyle w:val="ListParagraph"/>
              <w:numPr>
                <w:ilvl w:val="0"/>
                <w:numId w:val="10"/>
              </w:numPr>
            </w:pPr>
            <w:r>
              <w:rPr/>
              <w:t xml:space="preserve">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onderzoeksopdracht met een wiskundige component</w:t>
            </w:r>
          </w:p>
          <w:p>
            <w:pPr>
              <w:pStyle w:val="ListParagraph"/>
              <w:numPr>
                <w:ilvl w:val="0"/>
                <w:numId w:val="11"/>
              </w:numPr>
            </w:pPr>
            <w:r>
              <w:rPr/>
              <w:t xml:space="preserve">voorbereiden</w:t>
            </w:r>
          </w:p>
          <w:p>
            <w:pPr>
              <w:pStyle w:val="ListParagraph"/>
              <w:numPr>
                <w:ilvl w:val="0"/>
                <w:numId w:val="11"/>
              </w:numPr>
            </w:pPr>
            <w:r>
              <w:rPr/>
              <w:t xml:space="preserve">uitvoeren</w:t>
            </w:r>
          </w:p>
          <w:p>
            <w:pPr>
              <w:pStyle w:val="ListParagraph"/>
              <w:numPr>
                <w:ilvl w:val="0"/>
                <w:numId w:val="11"/>
              </w:numPr>
            </w:pPr>
            <w:r>
              <w:rPr/>
              <w:t xml:space="preserve">beoordelen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vanuit de hoofdvraag een werkplan met onderzoeks- en tijdsplan opmaken voor de bijhorende deelvragen</w:t>
              <w:br/>
              <w:t xml:space="preserve"/>
              <w:br/>
              <w:t xml:space="preserve">een werkplan met onderzoeksplan opmaken</w:t>
              <w:br/>
              <w:t xml:space="preserve"/>
              <w:br/>
              <w:t xml:space="preserve">een werkplan uitvoeren:</w:t>
              <w:br/>
              <w:t xml:space="preserve"/>
              <w:br/>
              <w:t xml:space="preserve"/>
            </w:r>
          </w:p>
          <w:p>
            <w:pPr>
              <w:pStyle w:val="ListParagraph"/>
              <w:numPr>
                <w:ilvl w:val="0"/>
                <w:numId w:val="12"/>
              </w:numPr>
            </w:pPr>
            <w:r>
              <w:rPr/>
              <w:t xml:space="preserve">informatie verzamelen in functie van de deelvraag en op basis van verschillende informatiebronnen (bv. literatuur, documenten, databestanden via deskresearch, enquête, interview, waarneming of observatie, (labo)experiment, waarneming, media)</w:t>
            </w:r>
          </w:p>
          <w:p>
            <w:pPr>
              <w:pStyle w:val="ListParagraph"/>
              <w:numPr>
                <w:ilvl w:val="0"/>
                <w:numId w:val="12"/>
              </w:numPr>
            </w:pPr>
            <w:r>
              <w:rPr/>
              <w:t xml:space="preserve">informatie beoordelen en verwerken en daaruit een conclusie trekken</w:t>
            </w:r>
          </w:p>
          <w:p>
            <w:r>
              <w:rPr/>
              <w:t xml:space="preserve">een conclusie of de onderzoeksresultaten rapporteren door een intellectueel eerlijk, gestructureerd en foutloos onderzoeksverslag met korte samenvatting te schrijven volgens de vastgelegde structuur</w:t>
              <w:br/>
              <w:t xml:space="preserve"/>
              <w:br/>
              <w:t xml:space="preserve">een correcte bronvermelding opstellen volgens de regels van de bronvermelding</w:t>
              <w:br/>
              <w:t xml:space="preserve"/>
              <w:br/>
              <w:t xml:space="preserve">je onderzoek evalueren en over je eigen werk en de aanpak van de onderzoeksopdracht reflecteren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de onderzoeksresultaten en conclusies 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onderzoeksverslag opstellen volgens de vastgelegde structuur: Inhoudsopgave - Inleiding - Berekeningen/antwoorden op alle deelopdrachten - Besluit - Bronvermelding volgens de APA regels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Bij dit vak maak je een onderzoeksverslag. Je vindt de instructies voor je opdracht in bijlage</w:t>
        <w:br/>
        <w:t>"Setoc Wiskunde Schoenmaat 2020".</w:t>
      </w:r>
    </w:p>
    <w:p>
      <w:pPr>
        <w:jc w:val="both"/>
      </w:pPr>
      <w:r>
        <w:t xml:space="preserve">Voor het verwerken van cijfermateriaal en het aanmaken van grafieken, verwijzen we naar de bijlage 'Statistiek voor de onderzoeksopdracht'.</w:t>
      </w:r>
    </w:p>
    <w:p>
      <w:pPr>
        <w:jc w:val="both"/>
      </w:pPr>
      <w:r>
        <w:t xml:space="preserve">Als je 7 dagen voor het examen geen onderzoeksverslag hebt opgeladen, dan mag je de vragen over de onderzoeksopdracht niet beantwoorden op het examen. In dat geval heb je 0% op de onderzoekscompetentie. </w:t>
      </w:r>
      <w:r w:rsidRPr="003E4776">
        <w:t/>
      </w:r>
    </w:p>
    <w:p w14:paraId="5B5E3ED3" w14:textId="0FE7D0D3" w:rsidR="0076163F" w:rsidRDefault="0076163F" w:rsidP="0076163F">
      <w:r w:rsidRPr="003E4776">
        <w:t/>
      </w:r>
      <w:r>
        <w:t>Bijlage statistiek voor de onderzoeksopdracht.pdf</w:t>
      </w:r>
      <w:r w:rsidRPr="003E4776">
        <w:t/>
      </w:r>
    </w:p>
    <w:p w14:paraId="5B5E3ED3" w14:textId="0FE7D0D3" w:rsidR="0076163F" w:rsidRDefault="0076163F" w:rsidP="0076163F">
      <w:r w:rsidRPr="003E4776">
        <w:t/>
      </w:r>
      <w:r>
        <w:t>Setoc Wiskunde Schoenmaat 2020.pdf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 ASO WISKUNDE 6 2 vanaf 2020.pdf</w:t>
      </w:r>
      <w:r w:rsidRPr="003E4776">
        <w:t/>
      </w:r>
    </w:p>
    <w:p w14:paraId="499D1B0A" w14:textId="79267327" w:rsidR="0076163F" w:rsidRDefault="0076163F" w:rsidP="0076163F">
      <w:r w:rsidRPr="003E4776">
        <w:t/>
      </w:r>
      <w:r>
        <w:t>VOORBLAD_wiskunde_3aso 6_2.pdf</w:t>
      </w:r>
      <w:r w:rsidRPr="003E4776">
        <w:t/>
      </w:r>
    </w:p>
    <w:p w14:paraId="499D1B0A" w14:textId="79267327" w:rsidR="0076163F" w:rsidRDefault="0076163F" w:rsidP="0076163F">
      <w:r w:rsidRPr="003E4776">
        <w:t/>
      </w:r>
      <w:r>
        <w:t>Legende instructie rekenmachine.pdf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het binomium van Newton vragen . We verwachten wel dat je deze kan toepassen in oefeningen en bewijzen.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 aso 6.2 verloopt volledig schriftelijk.</w:t>
      </w:r>
    </w:p>
    <w:p>
      <w:pPr>
        <w:jc w:val="both"/>
      </w:pPr>
      <w:r>
        <w:t xml:space="preserve">De tijdsduur bedraagt minstens 30 minuten en maximaal 2:30 uur; 3 uur voor kandidaten met een gemotiveerd attest (GA).</w:t>
      </w:r>
    </w:p>
    <w:p>
      <w:pPr>
        <w:jc w:val="both"/>
      </w:pPr>
      <w:r>
        <w:t xml:space="preserve">Je ontvangt een formularium voor de vakfiche 3aso 6.2 in bijlage.</w:t>
      </w:r>
    </w:p>
    <w:p>
      <w:pPr>
        <w:jc w:val="both"/>
      </w:pPr>
      <w:r>
        <w:t xml:space="preserve">Het examen begint met het deel over de onderzoekscompetentie. Je mag je onderzoeksverslag  gebruiken voor het oplossen van de vragen.</w:t>
      </w:r>
    </w:p>
    <w:p>
      <w:pPr>
        <w:jc w:val="both"/>
      </w:pPr>
      <w:r>
        <w:t xml:space="preserve">Als je klaar bent met het onderdeel, geef je je antwoordblad en de kladbladen van dit onderdeel af aan de toezichter. De toezichter sluit je onderzoeksverslag af. Je kan er niet meer naar terugkeren. Daarna ontvang je het vervolg van het examen.</w:t>
      </w:r>
    </w:p>
    <w:p>
      <w:pPr>
        <w:jc w:val="both"/>
      </w:pPr>
      <w:r>
        <w:t xml:space="preserve"/>
      </w:r>
    </w:p>
    <w:p>
      <w:pPr>
        <w:jc w:val="both"/>
      </w:pPr>
      <w:r>
        <w:t xml:space="preserve">Dit moet je zeker onthouden: opdrachten die je op voorhand moet maken en moet opladen in het EC-platform moeten vanaf 1 januari 7 dagen op voorhand opgeladen zijn. Als je examen hebt op maandag 21 januari examen. Je laadt je verslag ten laatste op maandag 14 januari om 23.59 uur op. Zo niet kan je het onderdeel SETOC niet afleggen.</w:t>
      </w:r>
    </w:p>
    <w:p>
      <w:pPr>
        <w:jc w:val="both"/>
      </w:pPr>
      <w:r>
        <w:t xml:space="preserve"/>
      </w:r>
    </w:p>
    <w:p>
      <w:pPr>
        <w:jc w:val="both"/>
      </w:pPr>
      <w:r>
        <w:t xml:space="preserve">Verdeel je tijd efficiënt over de verschillende onderdelen van het examen. We verwachten dat je niet langer dan 30 minuten moet werken aan het deel van de onderzoekscompetentie.</w:t>
      </w:r>
    </w:p>
    <w:p>
      <w:pPr>
        <w:jc w:val="both"/>
      </w:pPr>
      <w:r>
        <w:t xml:space="preserve"/>
      </w:r>
    </w:p>
    <w:p>
      <w:pPr>
        <w:jc w:val="both"/>
      </w:pPr>
      <w:r>
        <w:t xml:space="preserve">Je kan het voorblad van het examen kan je nalezen in het bestand in bijlage.</w:t>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je digitaal onderzoeksverslag</w:t>
      </w:r>
    </w:p>
    <w:p>
      <w:pPr>
        <w:jc w:val="both"/>
      </w:pPr>
      <w:r>
        <w:t xml:space="preserve">- een balpen</w:t>
      </w:r>
    </w:p>
    <w:p>
      <w:pPr>
        <w:jc w:val="both"/>
      </w:pPr>
      <w:r>
        <w:t xml:space="preserve">- een meetlat</w:t>
      </w:r>
    </w:p>
    <w:p>
      <w:pPr>
        <w:jc w:val="both"/>
      </w:pPr>
      <w:r>
        <w:t xml:space="preserve">- kladpapier</w:t>
      </w:r>
    </w:p>
    <w:p>
      <w:pPr>
        <w:jc w:val="both"/>
      </w:pPr>
      <w:r>
        <w:t xml:space="preserve">- een formularium (wiskunde 3aso 6.2)</w:t>
      </w:r>
    </w:p>
    <w:p>
      <w:pPr>
        <w:jc w:val="both"/>
      </w:pPr>
      <w:r>
        <w:t xml:space="preserve"/>
      </w:r>
    </w:p>
    <w:p>
      <w:pPr>
        <w:jc w:val="both"/>
      </w:pPr>
      <w:r>
        <w:t xml:space="preserve">Je kan je verslag van je onderzoeksopdracht digitaal raadplegen zolang je aan het onderdeel onderzoekscompetentie werkt. Nadien wordt je digitaal verslag afgesloten.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Daar waar er expliciet naar een antwoord of verklaring gevraagd wordt, formuleer je dit op een correcte wiskundige manier.</w:t>
      </w:r>
    </w:p>
    <w:p>
      <w:pPr>
        <w:jc w:val="both"/>
      </w:pPr>
      <w:r>
        <w:t xml:space="preserve"> </w:t>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br/>
              <w:t xml:space="preserve"/>
              <w:br/>
              <w:t xml:space="preserve"> </w:t>
              <w:br/>
              <w:t xml:space="preserve"/>
              <w:br/>
              <w:t xml:space="preserve">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Ruimtemeetkunde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Discrete wiskunde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 en kansrekenen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6.2 - 50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 Zo! Onderzoeken doe je zo.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Stapstenen. Onderzoek stap voor stap.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Mijn masterplan.</w:t>
              <w:br/>
              <w:t xml:space="preserve"/>
              <w:br/>
              <w:t xml:space="preserve">Hoofdstuk 6: de researchafdeling. Een onderzoeksopdracht uitwerken.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