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literatuuropdracht uitvoeren. 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schriftelijke examen geschiedenis bereid je thuis een literatuuropdracht voor. Je moet daarvoor één of twee artikels lezen over een historisch thema. </w:t>
      </w:r>
    </w:p>
    <w:p>
      <w:pPr>
        <w:jc w:val="both"/>
      </w:pPr>
      <w:r>
        <w:t xml:space="preserve">Met deze literatuuropdracht willen we op het examen toetsen of je historische informatie uit een artikel correct verwerkt en verbanden legt met de leerinhouden van de vakfiche. Daarnaast toetsen we of je aan de slag kan gaan met argumenten. Je analyseert, vergelijkt, beoordeelt en/of vat argumenten samen. Daarnaast formuleer je ook zelf argumenten. </w:t>
        <w:br/>
        <w:t>Op het examen krijg je enkele vragen over het artikel/de artikels én de leerinhouden die aansluiten bij het thema. De gedetailleerde beschrijving van de opdracht en de artikels vind je hier in bijlage.</w:t>
      </w:r>
      <w:r w:rsidRPr="003E4776">
        <w:t/>
      </w:r>
    </w:p>
    <w:p w14:paraId="5B5E3ED3" w14:textId="0FE7D0D3" w:rsidR="0076163F" w:rsidRDefault="0076163F" w:rsidP="0076163F">
      <w:r w:rsidRPr="003E4776">
        <w:t/>
      </w:r>
      <w:r>
        <w:t>Examenopdracht 3ASO_definitieve versie_2023.pdf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Terrorisme is van alle tijden_Niet Bin Laden heeft de wereld veranderd, dat deden wij_augustus_september_oktober_november_december 2023.pdf</w:t>
      </w:r>
      <w:r w:rsidRPr="003E4776">
        <w:t/>
      </w:r>
    </w:p>
    <w:p w14:paraId="499D1B0A" w14:textId="79267327" w:rsidR="0076163F" w:rsidRDefault="0076163F" w:rsidP="0076163F">
      <w:r w:rsidRPr="003E4776">
        <w:t/>
      </w:r>
      <w:r>
        <w:t>NAVO De ontstaansgeschiedenis_Een jubileum in mineur_ januari_februari_maart_april_mei_juni_juli_2023.pdf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Voor het schriftelijke examen geschiedenis bereid je thuis een literatuuropdracht voor. Je moet daarvoor één of twee artikels lezen over een historisch thema. Op het examen krijg hierover je enkele vragen. De opdracht en de artikels vind je in bijlagen.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2023 tot en met 31 december 2023.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Literatuuropdracht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