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Van kennis... </w:t>
      </w:r>
      <w:r>
        <w:rPr/>
        <w:t xml:space="preserve"/>
        <w:br/>
        <w:t xml:space="preserve">De vakfiche biologie is een voortzetting van de vakfiche natuurwetenschappen van de tweede graad TSO. In de tweede graad komen de thema's 'materie', 'energie' en 'kracht en beweging' aan bod. In de derde graad TSO worden deze thema's aangevuld met het thema 'leven'. Het doel van dit thema is om je kritisch te laten nadenken over het leven en om je bewust te maken over het eigen handelen in een steeds veranderende maatschappij, waarin jij een actieve rol speelt. We willen je uitdagen de aangereikte kennis in deze vakfiche te gebruiken, om op een verantwoorde manier keuzes te maken en standpunten in te nemen rond maatschappelijke thema's met een biologische context.</w:t>
        <w:br/>
        <w:t xml:space="preserve"/>
        <w:br/>
        <w:t xml:space="preserve">.</w:t>
      </w:r>
      <w:r>
        <w:rPr>
          <w:b/>
        </w:rPr>
        <w:t xml:space="preserve">.. naar oplossingen.</w:t>
      </w:r>
      <w:r>
        <w:rPr/>
        <w:t xml:space="preserve"/>
        <w:br/>
        <w:t xml:space="preserve">Wetenschap en maatschappij zijn voortdurend in wisselwerking met elkaar. Huidige duurzaamheidsvraagstukken over biodiversiteit en leefmilieu zoals klimaatopwarming, bevolkingsgroei, ... dagen ons uit innovatief te zijn in het zoeken naar oplossingen. Deze wetenschappelijke innovaties hebben een grote sociale, ecologische of economische impact. Door nieuwe DNA-technieken bijvoorbeeld, zal het in de toekomst eenvoudiger worden een dader te identificeren bij een forensische onderzoek. Maar steeds meer rijzen ook ethische en filosofische vragen op. Want door diezelfde DNA-technieken kunnen we ook de eigenschappen (zoals geslacht en oogkleur) van een ongeboren kind kiezen. Wat vind jij van een toekomst met zogenoemde designerbaby's?</w:t>
        <w:br/>
        <w:t xml:space="preserve"/>
        <w:br/>
        <w:t xml:space="preserve"/>
      </w:r>
      <w:r>
        <w:rPr>
          <w:b/>
        </w:rPr>
        <w:t xml:space="preserve">Ook jij!</w:t>
      </w:r>
      <w:r>
        <w:rPr/>
        <w:t xml:space="preserve"/>
        <w:br/>
        <w:t xml:space="preserve"/>
        <w:br/>
        <w:t xml:space="preserve">Met de wetenschappelijke kennis aangereikt in deze vakfiche willen we jouw nieuwsgierigheid stimuleren. Hoe ga jij om met seksuele diversiteit? Ben je je bewust van de mogelijke bijwerkingen van hormonale anticonceptie? Wat vind jij van de klimaatverandering? Hoever mag men gaan bij het in kaart brengen van genetische aandoeningen?</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
      </w:r>
      <w:r>
        <w:rPr>
          <w:color w:val="00B050"/>
        </w:rPr>
        <w:t/>
      </w:r>
    </w:p>
    <w:p w14:paraId="70391787" w14:textId="3DB223A8" w:rsidR="00047953" w:rsidRDefault="001D02B3" w:rsidP="0082741A">
      <w:r>
        <w:rPr>
          <w:color w:val="00B050"/>
        </w:rPr>
        <w:t/>
      </w:r>
      <w:r>
        <w:t/>
      </w:r>
      <w:r>
        <w:rPr/>
        <w:t xml:space="preserve">We wensen je veel succes!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cel als biologische basiseenheid van de levende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variatie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Meestal geven we je bronmateriaal aan de hand waarvan je de leerstof moet toelichten. Het bronmateriaal kan bestaan uit afbeeldingen, schema’s, tabellen, grafieken, tekstfragmenten en kaartmateriaal. Lees alles heel grondig door en let daarbij goed op de gebruikte werkwoorden. 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cel als biologische basiseenheid van de levende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w:t>
              <w:br/>
              <w:t xml:space="preserve"/>
              <w:br/>
              <w:t xml:space="preserve">celorganellen: celkern, centriolen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(G1,S,G2, celdeling) herkennen en toelichten DNA-replicatie situeren in de celcyclus en de verschillende fasen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9"/>
              </w:numPr>
            </w:pPr>
            <w:r>
              <w:rPr/>
              <w:t xml:space="preserve">impact van nieuwe DNA-technieken op forensisch onderzoek</w:t>
            </w:r>
          </w:p>
          <w:p>
            <w:pPr>
              <w:pStyle w:val="ListParagraph"/>
              <w:numPr>
                <w:ilvl w:val="0"/>
                <w:numId w:val="9"/>
              </w:numPr>
            </w:pPr>
            <w:r>
              <w:rPr/>
              <w:t xml:space="preserve">het ethisch debat met betrekking tot designerbaby’s</w:t>
            </w:r>
          </w:p>
          <w:p>
            <w:pPr>
              <w:pStyle w:val="ListParagraph"/>
              <w:numPr>
                <w:ilvl w:val="0"/>
                <w:numId w:val="9"/>
              </w:numPr>
            </w:pPr>
            <w:r>
              <w:rPr/>
              <w:t xml:space="preserve">de invloed van genetische gewijzigde organismen (GGO’s) op het milieu, onze gezondheid en de economie/maatschappij</w:t>
            </w:r>
          </w:p>
          <w:p>
            <w:pPr>
              <w:pStyle w:val="ListParagraph"/>
              <w:numPr>
                <w:ilvl w:val="0"/>
                <w:numId w:val="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variatie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10"/>
              </w:numPr>
            </w:pPr>
            <w:r>
              <w:rPr/>
              <w:t xml:space="preserve">de overerving van kenmerken bij de mens afleiden</w:t>
            </w:r>
          </w:p>
          <w:p>
            <w:pPr>
              <w:pStyle w:val="ListParagraph"/>
              <w:numPr>
                <w:ilvl w:val="0"/>
                <w:numId w:val="10"/>
              </w:numPr>
            </w:pPr>
            <w:r>
              <w:rPr/>
              <w:t xml:space="preserve">de overerving van het geslacht afleiden</w:t>
            </w:r>
          </w:p>
          <w:p>
            <w:pPr>
              <w:pStyle w:val="ListParagraph"/>
              <w:numPr>
                <w:ilvl w:val="0"/>
                <w:numId w:val="10"/>
              </w:numPr>
            </w:pPr>
            <w:r>
              <w:rPr/>
              <w:t xml:space="preserve">de overerving van bloedgroepen en resusfactor afleiden</w:t>
            </w:r>
          </w:p>
          <w:p>
            <w:pPr>
              <w:pStyle w:val="ListParagraph"/>
              <w:numPr>
                <w:ilvl w:val="0"/>
                <w:numId w:val="10"/>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impact van wetenschappelijke kennis en ontwikkeling op de verdraagzaamheid tegenover seksuele geaardheid, lichamelijke diversiteit, ..</w:t>
            </w:r>
          </w:p>
          <w:p>
            <w:pPr>
              <w:pStyle w:val="ListParagraph"/>
              <w:numPr>
                <w:ilvl w:val="0"/>
                <w:numId w:val="11"/>
              </w:numPr>
            </w:pPr>
            <w:r>
              <w:rPr/>
              <w:t xml:space="preserve">de impact van inteelt op de genetische variatie</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pressie,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de wijziging van biodiversiteit onder invloed van de klimaatverandering</w:t>
            </w:r>
          </w:p>
          <w:p>
            <w:pPr>
              <w:pStyle w:val="ListParagraph"/>
              <w:numPr>
                <w:ilvl w:val="0"/>
                <w:numId w:val="12"/>
              </w:numPr>
            </w:pPr>
            <w:r>
              <w:rPr/>
              <w:t xml:space="preserve">andere standpunten over de evolutie (scheppingsleer, creationisme, … ) tegenover wetenschappelijk onderbouwde argumenten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3TSO/3KSO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cel als biologische basiseenheid van de levende 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Erfelijkheid en variatie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dus je gaat zelf op zoek naar de gepaste leermiddelen. Je kan ze kopen in een (online) boekhandel of ontlenen en raadplegen in een bibliotheek. De bibliotheken van de lerarenopleiding aan de universiteit of de hogeschool bieden ook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Erfelijkheid en evolutie</w:t>
              <w:br/>
              <w:t xml:space="preserve"/>
              <w:br/>
              <w:t xml:space="preserve">BIOgenie-T 5/6 - Voortplanting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https://school.vanin.be/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