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macht van de Franse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verschuivingen en haar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vorst vergroten: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die de macht van de vorst beperkten: magna charta (1215), parlement</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absolutisme onder Lodewijk XIV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koninklijke macht in Frankrijk en Engeland vergelijken in deze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