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moeten aanpassen.</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In de zoektocht naar wie je bent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hoe een individu bepalend kan zijn voor veranderingen. Het is boeiend om te analyseren welke invloed een lokaal proces op het internationale vlak heeft. Het is verrassend om te zien wat je allemaal uit foto's, spotprenten of films kan afleiden. Het is beklijvend om vast te stellen hoe hard mensen zich in het verleden hebben ingespannen voor de rechten van de mens. </w:t>
        <w:br/>
        <w:t xml:space="preserve"/>
        <w:br/>
        <w:t xml:space="preserve">In het vak geschiedenis van de tweede graad bestudeer je de samenlevingen uit het ancien régime: de middeleeuwen en de nieuwe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nieuwe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Niet-westerse samenlevingen in de nieuwe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r>
    </w:p>
    <w:p>
      <w:r>
        <w:rPr/>
        <w:t xml:space="preserve"> </w:t>
      </w:r>
    </w:p>
    <w:p>
      <w:r>
        <w:rPr>
          <w:b/>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en vergelijken;</w:t>
      </w:r>
    </w:p>
    <w:p>
      <w:r>
        <w:rPr/>
        <w:t xml:space="preserve">historische informatie situeren in het historisch referentiekader;</w:t>
      </w:r>
    </w:p>
    <w:p>
      <w:r>
        <w:rPr/>
        <w:t xml:space="preserve">historische informatie bevragen door gebruik te maken van de vermelde structuurbegrippen;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 </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GEBRUIK VAN WERKWOORDEN</w:t>
      </w:r>
    </w:p>
    <w:p>
      <w:r>
        <w:rPr/>
        <w:t xml:space="preserve"> </w:t>
      </w:r>
    </w:p>
    <w:p>
      <w:r>
        <w:rPr/>
        <w:t xml:space="preserve">Belangrijke aandachtspunten bij het gebruik van de werkwoorden.</w:t>
      </w:r>
    </w:p>
    <w:p>
      <w:r>
        <w:rPr/>
        <w:t xml:space="preserve"> </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ATLAS EN BEGRIPPENLIJST</w:t>
      </w:r>
    </w:p>
    <w:p>
      <w:r>
        <w:rPr/>
        <w:t xml:space="preserve"> </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het ancien régime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begin- en einddatum van het ancien régime benoemen</w:t>
              <w:br/>
              <w:t xml:space="preserve"/>
              <w:br/>
              <w:t xml:space="preserve">uitleggen of een gebeurtenis tijdens het ancien régime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Kaarten over het verleden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Ruimtelijke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centrum en periferie</w:t>
              <w:br/>
              <w:t xml:space="preserve">maritiem en continentaal</w:t>
              <w:br/>
              <w:t xml:space="preserve">ruraal en stedelijk</w:t>
              <w:b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domeinen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feiten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Thema's over het hele ancien régime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de demografische evolutie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mobiliteit en transport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centralisatie, clerus, cijns, decentralisatie, democratie, demografie, dynastie, grondwet, kolonisatie, koning, keizer, lijfeigenschap, macht, monarchie, nijverheid, overheid, privilege, republiek, staat, standenmaatschappij, vorst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 doel, gevolg, invloed, mentaliteit, middel, motief,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bruikbaarheid, feit, gezag, interpretatie, legende, leugen, mening, mythe, objectiviteit, primaire bron, redenering,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Germaanse volksverhuizingen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Germaanse volksverhuizingen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volksverhuizingen situeren in de tijd</w:t>
              <w:br/>
              <w:t xml:space="preserve"/>
              <w:br/>
              <w:t xml:space="preserve">de oorzaken van die volksverhuizingen beschrijven</w:t>
              <w:br/>
              <w:t xml:space="preserve"/>
              <w:br/>
              <w:t xml:space="preserve">de volksverhuizingen aan de hand van een kaart uitleggen</w:t>
              <w:br/>
              <w:t xml:space="preserve"/>
              <w:br/>
              <w:t xml:space="preserve">de gevolgen van die volksverhuizingen op het gebruik van talen in Europa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Frankische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Frankische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groei van het Frankische rijk aan de hand van een kaart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de Kerk en de Frankische koningen: </w:t>
              <w:br/>
              <w:t xml:space="preserve">het doopsel van Clovis (=Chlodovech)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doopsel situeren in de tijd</w:t>
              <w:br/>
              <w:t xml:space="preserve"/>
              <w:br/>
              <w:t xml:space="preserve">de voordelen van die bekering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tussen de paus en de Franken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versnippering van het Frankische rijk door het Verdrag van Verdun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versnippering aan de hand van een kaart uitleggen en vergelijken met een kaart van de hedendaagse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feodaliteit of het leenwezen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feodaliteit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leen, leenman, leenheer, vazal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wederzijdse rechten en plichten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en plichten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standensamenleving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standensamenleving uitleggen</w:t>
              <w:br/>
              <w:t xml:space="preserve"/>
              <w:br/>
              <w:t xml:space="preserve">deze samenleving vergelijken met onze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 adel, clerus en de derde 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bevolkingsgroepen die tot deze standen behoren benoemen</w:t>
              <w:br/>
              <w:t xml:space="preserve"/>
              <w:br/>
              <w:t xml:space="preserve">de rechten en de plichten van deze standen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'marginale’ groepen uit het ancien régime: begijnen, 'heksen’, joden, ketters, mensen met een fysieke of mentale beperking, prostitués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groepen 'marginale’ groepen waren in de samenleving van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het gedrag van personen en de maatschappelijke normen van die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of het gedrag van personen overeenkomt met de normen van die tijd of niet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celibaat, christianiseren, concilie, kardinaal, kerstenen, ketterij, paus, sacrament, schisma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christendom op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agrarische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domein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domein, gesloten of zelfvoorzienende economie, heerlijke rechten, horige, lijfeigene, vroonhof en tenure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br/>
              <w:t xml:space="preserve"/>
              <w:br/>
              <w:t xml:space="preserve">het verschil uitleggen tussen lijfeigenschap en slavernij uit de klassieke oudheid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domein als zelfvoorzienend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domein een zelfvoorzienend systeem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inwoners van het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een agrarische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agrarische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vernieuwingen in de landbouw vanaf de 10e eeuw: het drieslagstelsel, het gareel, de karploeg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vernieuwingen uitleggen</w:t>
              <w:br/>
              <w:t xml:space="preserve"/>
              <w:br/>
              <w:t xml:space="preserve">de invloed van deze vernieuwingen op de voedselproductie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bloei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heropbloei van de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 waar nieuwe steden ontstaan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hun voordelen benoemen en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gebouwen van een middeleeuwse stad: belfort, kathedraal, lakenhalle, marktplein, stadhuis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gebouwen herkennen op afbeeldingen</w:t>
              <w:br/>
              <w:t xml:space="preserve"/>
              <w:br/>
              <w:t xml:space="preserve">de functie van deze gebouwen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keure met de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keure en privileges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nijverheid en de handel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gilden en de hanzen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 van Brugge in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en verklaren</w:t>
              <w:br/>
              <w:t xml:space="preserve"/>
              <w:br/>
              <w:t xml:space="preserve">de handelsroutes in West-Europa aan de hand van een kaart uitleggen</w:t>
              <w:br/>
              <w:t xml:space="preserve"/>
              <w:br/>
              <w:t xml:space="preserve">de belangrijkste handelsproducten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ambachten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 monopoliepositie van de ambachten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romaanse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romaanse kunst situeren in de tijd</w:t>
              <w:br/>
              <w:t xml:space="preserve"/>
              <w:br/>
              <w:t xml:space="preserve">uit verschillende voorbeelden romaanse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gotische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gotische kunst situeren in de tijd</w:t>
              <w:br/>
              <w:t xml:space="preserve"/>
              <w:br/>
              <w:t xml:space="preserve">de gotische kunst vergelijken met de romaanse kunst</w:t>
              <w:br/>
              <w:t xml:space="preserve"/>
              <w:br/>
              <w:t xml:space="preserve">uit verschillende voorbeelden gotische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macht van de Franse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verschuivingen en haar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Hastings (1066)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elementen die de macht van vorst vergroten: domesday book, sheriffs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elementen die de macht van de vorst beperkten: magna charta (1215), parlement</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en toepassen</w:t>
              <w:br/>
              <w:t xml:space="preserve"/>
              <w:br/>
              <w:t xml:space="preserve">de magna charta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ontdekkingsreizen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voor de ontdekkingsreizen: cultureel, economisch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mogelijkheden die de ontdekkingsreizen mogelijk maakten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mogelijkheden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bekendste ontdekkingsreizigers: Columbus, Cook, Cortez, da Gama, Diaz, Eriksson, Magellaan, Pizarro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verdienste van deze ontdekkingsreizigers benoemen</w:t>
              <w:br/>
              <w:t xml:space="preserve"/>
              <w:br/>
              <w:t xml:space="preserve">de route van deze ontdekkingsreizigers aan de hand van een kaart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de handelsroutes aanduiden op een kaart</w:t>
              <w:br/>
              <w:t xml:space="preserve"/>
              <w:br/>
              <w:t xml:space="preserve">de koopwaar die verhandeld werd,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gevolgen: het koloniaal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gevolgen: het bevolkingsaantal en de mengrassen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gevolgen: opleggen van het christendom en de Europese 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gevolgen: verspreiding van nieuwe gewassen en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slavenhandel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handel benoemen,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humanisme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verspreiding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verspreiding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reformatie en de contrareformatie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verspreiding van de protestantse strekkingen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verspreiding van een kaart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contrareformatie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maatregelen van de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maatregelen uitleggen, verklaren en toepassen</w:t>
              <w:br/>
              <w:t xml:space="preserve"/>
              <w:br/>
              <w:t xml:space="preserve">deze maatregelen verbinden met wantoestanden in de Kerk</w:t>
              <w:br/>
              <w:t xml:space="preserve"/>
              <w:br/>
              <w:t xml:space="preserve">deze maatregelen verbinden met ideeën van de reformatie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aflaat, celibaat, dogma, index, inquisitie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renaissance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renaissancekunst situeren in de tijd</w:t>
              <w:br/>
              <w:t xml:space="preserve"/>
              <w:br/>
              <w:t xml:space="preserve">de renaissancekunst vergelijken met kunst uit de middeleeuwen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renaissancekunst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barok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barokkunst situeren in de tijd</w:t>
              <w:br/>
              <w:t xml:space="preserve"/>
              <w:br/>
              <w:t xml:space="preserve">de invloed van de barokkunst in onze gewesten uitleggen</w:t>
              <w:br/>
              <w:t xml:space="preserve"/>
              <w:br/>
              <w:t xml:space="preserve">de barokkunst vergelijken met kunst uit de middeleeuwen en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barokkunst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nijverheid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het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'kapitalisme’ uitleggen, verklaren en toepassen</w:t>
              <w:br/>
              <w:t xml:space="preserve"/>
              <w:br/>
              <w:t xml:space="preserve">de veranderingen in de nijverheid verbinden met het kapitalisme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br/>
              <w:t xml:space="preserve"/>
              <w:br/>
              <w:t xml:space="preserve">afbeeldingen van een manufactuur vergelijken met een ambachtsplaats en een moderne fabrieksruimte</w:t>
              <w:br/>
              <w:t xml:space="preserve"/>
              <w:br/>
              <w:t xml:space="preserve">benoemen welke kenmerken vernieuwend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aandelen, beurs, centrale bank, handelscompagnie, stapelmarkt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Nederlanden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Karel V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Nederlanden als onderdeel van het Habsburgse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gebieden van het Habsburgse rijk onder Karel V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Filips II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rijk van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rijk van Filips II vergelijken met het rijk van Karel V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verzet tegen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Beeldenstorm (1566)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Beeldenstorm situeren in de tijd</w:t>
              <w:br/>
              <w:t xml:space="preserve"/>
              <w:b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Plakkaat van Verlatinghe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bron de inhoud van het Plakkaat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 in Frankrijk en Engeland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vorstelijk absolutisme in Frankrijk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'vorstelijk absolutisme’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absolute macht van Lodewijk XIV of de Zonnekoning op alle domeinen van de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absolutisme onder Lodewijk XIV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constitutionele, parlementaire monarchie in Engeland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'constitutioneel’ uitleggen</w:t>
              <w:br/>
              <w:t xml:space="preserve"/>
              <w:br/>
              <w:t xml:space="preserve">het begrip 'parlementair’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koninklijke macht in Frankrijk en Engeland vergelijken in deze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strijd tussen de koning en het parlement in de 17e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deze strijd uit bronnen afleiden</w:t>
              <w:br/>
              <w:t xml:space="preserve"/>
              <w:br/>
              <w:t xml:space="preserve">tegenstellingen in de visie op de macht tussen de koning en het parlement uit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betekenis van de Glorious Revolution (1688)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 situeren in de tijd</w:t>
              <w:br/>
              <w:t xml:space="preserve"/>
              <w:br/>
              <w:t xml:space="preserve">deze betekenis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Declaration of Rights (1689)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document situeren in de tijd</w:t>
              <w:br/>
              <w:t xml:space="preserve"/>
              <w:br/>
              <w:t xml:space="preserve">het belang van dit document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verlichting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ideeën van de verlichting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ideeën van de verlichting: grondwet, rechtsgelijkheid, rechtszekerheid, scheiding der machten, volkssoevereiniteit, vrijheid, weerstandsrecht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de invloed van deze ideeën op onze maatschappij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Amerikaanse grondwet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grondwet: republiek, federale staat, scheiding der machten, checks and balances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 van de politieke verlichtingsideeën op deze grondwet uitleggen en verklaren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Franse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verloop van de Franse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Franse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de aanleiding uitleggen en verklaren </w:t>
              <w:br/>
              <w:t xml:space="preserve"/>
              <w:br/>
              <w:t xml:space="preserve">deze oorzaken uit spotprenten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Bestorming van de Bastille (14 juli 1789)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bestorming benoemen</w:t>
              <w:br/>
              <w:t xml:space="preserve"/>
              <w:br/>
              <w:t xml:space="preserve">de invloed van deze bestorming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cijnskiesrecht, guillotine, Verklaring van de Rechten van de Mens en de Burger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Franse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Frans bestuur onder Napoleon in onze gewesten: afschaffing standensamenleving, afschaffing ambachten, burgerlijke stand, decimaal 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en het einde van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Franse revolutie het einde betekent van het ancien régime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Niet-westerse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Arabische rijk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aan de hand van een kaart</w:t>
              <w:br/>
              <w:t xml:space="preserve"/>
              <w:br/>
              <w:t xml:space="preserve">het Arabische rijk aanduiden op een kaart</w:t>
              <w:br/>
              <w:t xml:space="preserve"/>
              <w:br/>
              <w:t xml:space="preserve">het Arabische rijk vergelijken met een hedendaagse kaart over de verspreiding van de islam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islamitische jaartelling vanaf 622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dat het Arabische rijk een andere jaartelling heeft dan de christelijke</w:t>
              <w:br/>
              <w:t xml:space="preserve"/>
              <w:br/>
              <w:t xml:space="preserve">verklaren waarom 622 het begin is van de islamitische jaartelling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vijf zuilen van de islam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zuilen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soennieten en de sjiieten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twee richtingen in de islam benoemen, verklaren en toepassen</w:t>
              <w:br/>
              <w:t xml:space="preserve"/>
              <w:br/>
              <w:t xml:space="preserve">aantonen dat die twee richtingen ook vandaag nog een rol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de Arabische cultuur en wetenschap aan de westerse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bijdrage uitleggen, verklaren en toepassen</w:t>
              <w:br/>
              <w:t xml:space="preserve"/>
              <w:br/>
              <w:t xml:space="preserve">verklaren waarom de Arabische cultuur en wetenschap verder stond dan de westerse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Overeenkomsten en verschillen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niet-westerse beschavingen (Arabisch, Byzantijns, Inca’s en Azteken) en westerse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br/>
              <w:t xml:space="preserve"/>
              <w:br/>
              <w:t xml:space="preserve">bronnen verbinden met de juiste niet-westerse beschaving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2kso en 2tso is een digitaal examen. Vraag je je af hoe een digitaal examen verloopt? 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nieuwe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Niet-westerse samenlevingen in het ancien régime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