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Bijlage_Nederlands_2kso 2tso_lectuuropdracht.pdf</w:t>
      </w:r>
      <w:r w:rsidRPr="003E4776">
        <w:t/>
      </w:r>
    </w:p>
    <w:p w14:paraId="5B5E3ED3" w14:textId="0FE7D0D3" w:rsidR="0076163F" w:rsidRDefault="0076163F" w:rsidP="0076163F">
      <w:r w:rsidRPr="003E4776">
        <w:t/>
      </w:r>
      <w:r>
        <w:t>Bijlage_Nederlands_2KT_lectuurlijst.pdf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www.standaard.be</w:t>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